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ПОЛЬЗОВАТЕЛЬСКОЕ СОГЛАШЕНИЕ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для</w:t>
      </w:r>
      <w:r>
        <w:rPr>
          <w:rFonts w:eastAsia="Times New Roman" w:cs="Times New Roman" w:ascii="Times New Roman" w:hAnsi="Times New Roman"/>
          <w:b/>
          <w:sz w:val="24"/>
        </w:rPr>
        <w:t xml:space="preserve"> мобильного приложения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«</w:t>
      </w:r>
      <w:r>
        <w:rPr>
          <w:rFonts w:cs="Times New Roman" w:ascii="Times New Roman" w:hAnsi="Times New Roman"/>
          <w:b/>
          <w:sz w:val="24"/>
          <w:lang w:val="en-US"/>
        </w:rPr>
        <w:t>TAXSEE</w:t>
      </w:r>
      <w:r>
        <w:rPr>
          <w:rFonts w:cs="Times New Roman" w:ascii="Times New Roman" w:hAnsi="Times New Roman"/>
          <w:b/>
          <w:sz w:val="24"/>
        </w:rPr>
        <w:t>: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заказ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 xml:space="preserve">такси для </w:t>
      </w:r>
      <w:r>
        <w:rPr>
          <w:rFonts w:cs="Times New Roman" w:ascii="Times New Roman" w:hAnsi="Times New Roman"/>
          <w:b/>
          <w:sz w:val="24"/>
          <w:lang w:val="en-US"/>
        </w:rPr>
        <w:t>Android</w:t>
      </w:r>
      <w:r>
        <w:rPr>
          <w:rFonts w:cs="Times New Roman" w:ascii="Times New Roman" w:hAnsi="Times New Roman"/>
          <w:b/>
          <w:sz w:val="24"/>
        </w:rPr>
        <w:t>»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2023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Настоящее Пользовательское соглашение для мобильного приложения «TAXSEE: заказ такси для Android» (далее по тексту – Соглашение) определяет условия предоставления</w:t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zh-CN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ru-RU" w:eastAsia="zh-CN" w:bidi="ar-SA"/>
        </w:rPr>
        <w:t>ООО "МАКСИМ.ПЛАТФОРМА" (ИНН 4501226750)</w:t>
      </w:r>
      <w:r>
        <w:rPr>
          <w:rFonts w:cs="Times New Roman" w:ascii="Times New Roman" w:hAnsi="Times New Roman"/>
          <w:sz w:val="24"/>
        </w:rPr>
        <w:t xml:space="preserve"> (далее по тексту – Лицензиар) право пользования конечным пользователем (далее по тексту – Лицензиат) приложением «TAXSEE: заказ такси для Android» (далее по тексту – Приложение) для мобильных устройств.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Приложение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предоставляет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Лицензиату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возможность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автоматизировать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оформление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и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информационное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сопровождение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заявок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на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предоставление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услуг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по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перевозке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пассажиров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и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(или)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багажа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либо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услуг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по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доставке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товаров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и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(или)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грузов,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а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также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прочие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взаимодействия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Лицензиата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с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Организатором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перевозок,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Водителем,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посредством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мобильного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устройства,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при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наличии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доступа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к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сети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Интернет.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Соглашение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содержит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специальные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нормы,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которые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регулируют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отношения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между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Лицензиатом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и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Лицензиаром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по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использованию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Приложения.</w:t>
      </w:r>
    </w:p>
    <w:p>
      <w:pPr>
        <w:pStyle w:val="Normal"/>
        <w:ind w:firstLine="709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1.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Термины,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используемые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в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настоящем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Соглашении: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1.1. Приложение – программа для ЭВМ (мобильных устройств), оперируемая Лицензиатом, распространяемая на безвозмездной основе (бесплатно) и предназначенная для работы на устройстве с операционной системой Android. Оперирование и обслуживание Приложения, а также предоставление доступа Лицензиатам к Приложению осуществляется исключительно Лицензиаром. Использование Приложения Лицензиатом происходит в интерактивном (онлайн) режиме посредством подключения Лицензиата ко всемирной сети Интернет. Лицензиар является обладателем необходимого объема прав на Приложение и на все его элементы, взятые как в отдельности, так и в совокупности, за исключением Контента, права на элементы которого могут принадлежать Лицензиату или третьим лицам. Лицензиар вправе осуществлять использование, оперирование и распространение Приложения на соответствующих территориях, где он обеспечивает ее использование, оперирование и распространение.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1.2.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Сайт – Интернет-сайт, а также его мобильная версия, предоставляющий Лицензиату доступ к Приложению.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1.3. Лицензиар – лицо, являющееся правообладателем исключительных прав на Приложение, предоставляющее право использования Приложения на условиях неисключительной лицензии Лицензиатам, а также осуществляющее доведение до всеобщего сведения, распространение, оперирование, обслуживание, администрирование Приложения. На условиях настоящего Соглашения Лицензиар предоставляет право использования Приложения и доступ Лицензиатам к Приложению. Лицензиар является Стороной настоящего Соглашения.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1.4. Лицензиат – лицо, которому в соответствии с настоящим Соглашением предоставляется право на использование Приложения на условиях неисключительной лицензии в предусмотренных настоящим Соглашением пределах. Лицензиат является Стороной настоящего Соглашения.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1.5. Контент – размещенные в Приложении элементы дизайна, графические изображения, тексты, звуки и другие объекты, являющиеся результатом интеллектуальной деятельности или не являющиеся таковыми, права на которые принадлежат Лицензиару, Лицензиату или иным лицам.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1.6. Организатором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перевозок — лицо, самостоятельно, своими силами оказывающее услуги по организации перевозок пассажиров и (или) багажа либо по доставке товаров и (или) грузов в соответствии с законодательством Российской Федерации (в различных городах перечень услуг может различаться).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1.7. Пользовательское соглашение — текст настоящего Соглашения и иные правила, указанные в настоящем Соглашении, содержащие все необходимые и существенные условия об использования Приложения, как программного обеспечения.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firstLine="709"/>
        <w:jc w:val="center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2. Условия присоединения к настоящему Соглашению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2.1. Перед тем как загрузить или начать использовать Приложение, Лицензиат обязан ознакомиться с настоящим Соглашением.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2.2. Присоединение Лицензиата к настоящему Соглашению осуществляется путем активных действий Лицензиата (нажатием на кнопку «Принимаю» на экране «Лицензионное соглашение»), что по смыслу ст.ст. 435 и 438 Гражданского кодекса Российской Федерации является принятием (акцептом) оферты Лицензиара, а равно заключением Лицензионного договора, порождающего у Лицензиата обязанности соблюдать условия настоящего Соглашения.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2.3. Фактическое использование Лицензиатом Приложения также является подтверждением присоединения Лицензиата к условиям настоящего Соглашения.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2.4. Каждым использованием Приложения, Лицензиат выражает согласие с условиями настоящего Соглашения в редакции, которая действовала на момент фактического использования Приложения.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3. Предмет Соглашения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3.1. По настоящему Соглашению Лицензиар предоставляет Лицензиату на условиях простой неисключительной лицензии право использования Приложения, как программного обеспечения, в том числе доступ к основным функциям Приложения и размещенной в нем информации.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3.2. Право использования Приложения предоставляется Лицензиаром Лицензиату на бесплатной основе. 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4. Пределы (способы) использования Приложения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4.1. Лицензиат вправе использовать Приложение следующими способами: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4.1.1. использовать основной функционал Приложения как средство для сопровождения заявок на предоставление транспортных и информационных услуг в адрес Организатора перевозок, а также прочие взаимодействия Лицензиата с Организатором перевозок посредством приложения, установленного на мобильный телефон или планшетный ПК, подключенный к сети Интернет, с соблюдением предусмотренных настоящим Соглашением правил;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4.1.2. воспроизводить Приложение для личного использования посредством копирования в память своего мобильного устройства (скачивания). В случае, если элементы Контента являются объектом авторских прав или личными изображениями (фотографиями) других Лицензиатов или третьих лиц, Лицензиат при таком их воспроизведении обязан дополнительно получить согласие таких лиц на такое воспроизведение;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4.2. Лицензиат не вправе: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4.2.1. воспроизводить, распространять, перерабатывать в коммерческих или некоммерческих целях элементы Приложения, являющиеся объектом авторских прав Лицензиара или третьих лиц, при отсутствии разрешения соответствующих правообладателей на совершение данных действий;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4.2.2. воспроизводить элементы дизайна или пользовательского интерфейса Приложения при создании сайтов или ведении любой коммерческой деятельности во всемирной сети Интернет или вне ее;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4.2.3. передавать предоставленные Лицензиату права использования Приложения, в том числе логин и пароль третьим лицам или посредством заключения сублицензионного договора или иным способом;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4.2.4. нарушать закрепленные в настоящем Соглашении правила использования Приложения.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5. Правила использования Приложения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5.1. Для полноценного использования Приложения Лицензиату необходимо авторизоваться в Приложении при помощи сотового номера телефона и пароля, полученного после ввода номера телефона в соответствующее окно в интерфейсе Приложения.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5.2. После авторизации на экране авторизации Лицензиат вправе использовать Приложение при условии соблюдения настоящего Соглашения.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5.3. Лицо, авторизовавшееся на экране авторизации, считается надлежащим владельцем Приложения, доступ к использованию и управлению которого были получены в результате такой авторизации. Логин и пароль используются для авторизации в Приложении. Многократный неверный ввод таких данных может вести к временной блокировке Приложения. Если Лицензиатом не доказано обратное, любые действия, совершенные с использованием его мобильного устройства, считаются совершенными соответствующим Лицензиатом. В случае несанкционированного доступа к его мобильному устройству Лицензиат обязан незамедлительно сообщить об этом Лицензиару.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5.4. При невозможности совершения авторизации в связи с неверно введенным сотовым номером телефона и по иным причинам, Лицензиат, помимо выполнения условий, предусмотренных в Соглашении для самостоятельного восстановления доступа, вправе обратиться в службу поддержки Лицензиара. Способы восстановления доступа к Приложению, могут быть изменены, отменены или дополнены Лицензиаром в одностороннем порядке.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5.5. Лицензиар предпринимает коммерчески обоснованные усилия для обеспечения функционирования Приложения в круглосуточном режиме, однако не гарантирует отсутствие перерывов, связанных с техническими неисправностями, проведением профилактических работ. Лицензиар не гарантирует, что Приложение или любые его элементы будут функционировать в любое конкретное время в будущем или что они не прекратят работу.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5.6. Лицензиат предоставляет Лицензиару право использовать Контент исключительно для целей функционирования Приложения необходимым для этого способом.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5.7. Лицензиат не вправе загружать или иным образом доводить до всеобщего сведения Контент и прочие результаты интеллектуальной деятельности Лицензиара и иных лиц- правообладателей, при отсутствии явным образом выраженного согласия правообладателя и/или необходимого объема прав на такие действия.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5.8. Лицензиат дает свое согласие Лицензиару в целях исполнения настоящего Соглашения, осуществлять обработку персональных данных Лицензиата, передавать их третьим лицам, а равно привлекать третьих лиц к обработке персональных данных Лицензиата без выплаты ему вознаграждения, как без использования средств автоматизации, так и с их использованием. В ходе обработки персональных данных могут быть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уничтожение, а также любые иные действия. Лицензиат соглашается, что персональные данные могут обрабатываться в течение срока деятельности Соглашения. Хранение персональных данных осуществляется согласно действующему законодательству Российской Федерации. 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6. Права и обязанности Лицензиара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6.1. Лицензиар осуществляет текущее управление Приложением, определяет его структуру, внешний вид, разрешает или ограничивает доступ Лицензиата к Приложению при нарушении положений настоящего Соглашения, осуществляет иные принадлежащие ему права.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6.2. В части предоставления возможности предоставления Лицензиату самостоятельно совершать те или иные действия в рамках Приложения, Лицензиар выступает исключительно как лицо, организовавшее техническую возможность такого взаимодействия. Связанные с таким взаимодействием передача, хранение и обеспечение доступа посредством сети Интернет и программного обеспечения Приложения к предоставляемой Лицензиатами информации, графическим изображениям и иным материалам, осуществляются без влияния на процесс такого взаимодействия со стороны Лицензиара.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6.3. Лицензиар самостоятельно решает вопросы о порядке размещения в Приложении рекламы, участия в партнерских программах, включения в содержание Приложения Контента и т.д.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6.4. Лицензиар имеет право: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6.4.1. в любое время изменять оформление и пользовательский интерфейс Приложения, его содержание, содержание предоставляемых функций, изменять или дополнять используемые скрипты, программное обеспечение, Контент Лицензиара и другие объекты, используемые или хранящиеся в Приложении, любые серверные приложения без обязательного уведомления об этом Лицензиата;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6.4.2. в любой момент приостанавливать, ограничивать или прекращать доступ Лицензиата к Приложению, расторгнуть настоящее Соглашение по организационным или техническим причинам в одностороннем порядке, удалив Приложение с мобильного устройства Лицензиата или заблокировав возможность его использования.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6.4.3 осуществлять рассылку Лицензиатам сообщений (в том числе sms - сообщений и т.п.), являющихся сервисными уведомлениями, уведомлениями о введении в действие новых либо отмене старых функций Приложения, а также содержащих рекламную информацию о функциях Приложения;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6.4.4. в целях сбора статистических данных и идентификации Лицензиата устанавливать и сохранять информацию об IP-адресах доступа Лицензиата к Приложению;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6.4.5. при использовании Приложения делать замечания Лицензиатам, предупреждать, уведомлять, информировать их о несоблюдении настоящего Соглашения. Указания Лицензиара, данные Лицензиату во время процесса использования Приложения, обязательны для исполнения Лицензиатом;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6.4.6. предпринимать не запрещенные законом меры для защиты собственных интеллектуальных прав в отношении Приложения;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6.4.7. Лицензиар вправе передавать права и обязанности по настоящему Соглашению третьим лицам в целях исполнения настоящего Соглашения, без дополнительного согласия Лицензиата.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6.5. Лицензиар принимает на себя следующие обязательства: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6.5.1. на условиях, изложенных в настоящем Соглашении, предоставить возможность Лицензиату использовать Приложение, осуществлять предоставление прав использования Приложения как программного обеспечения;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6.5.2. уведомлять Лицензиата путем опубликования информации на Сайте или рассылки сообщений об изменениях условий настоящего Соглашения. 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7. Права и обязанности Лицензиата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7.1. Лицензиат вправе: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7.1.1. использовать Приложение как средство для сопровождения заявок на предоставление транспортных и информационных услуг в адрес Организатора перевозок, а также прочие взаимодействия Лицензиата с Организатором перевозок посредством приложения, установленного на мобильный телефон или планшетный ПК, подключенный к сети Интернет, с соблюдением предусмотренных настоящим Соглашением правил;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7.1.2. осуществлять иные, не запрещенные законодательством Российской Федерации или настоящим Соглашением действия, связанные с использованием Приложения.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7.2. Лицензиат обязан: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7.2.1. соблюдать условия настоящего Соглашения без каких-либо ограничений;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7.2.2. не превышать пределы предоставленного права использования Приложения, установленные в настоящем Соглашении;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7.2.3. не нарушать иным образом права интеллектуальной собственности Лицензиара в отношении Приложения или каких-либо его элементов, в частности, Лицензиат не имеет права копировать, транслировать, рассылать, публиковать, и иным образом распространять и воспроизводить размещенные Лицензиаром в рамках Приложения/Сайта материалы (текстовые, графические, аудио- / видеоматериалы) без письменного согласия Лицензиара;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7.2.4. выполнять все указания и предписания Лицензиара. В случае невыполнения Лицензиатом таких указаний Лицензиар имеет право приостановить, ограничить, прекратить предоставление Лицензиату прав использования Приложения или отдельных его функций, включая Дополнительный функционал Приложения;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7.2.5. знакомиться с обновлениями настоящего Соглашения;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7.2.6. соблюдать иные требования и выполнять иные обязательства, предусмотренные настоящим Соглашением.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7.3. Лицензиат несет ответственность за все действия, осуществляемые с использованием Приложения.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7.4. Лицензиат гарантирует, что обладает всеми необходимыми полномочиями для заключения настоящего Соглашения.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7.7. Лицензиату запрещается: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7.7.1. осуществлять через Приложение пропаганду или агитацию, возбуждающую социальную, расовую, национальную или религиозную ненависть и вражду, пропаганду войны, социального, расового, национального, религиозного или языкового превосходства;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7.7.2. использовать Приложение для пропаганды суицида, для загрузки, хранения и распространения информации, содержащей описание способов суицида и любое подстрекательство к его совершению; информации о наркотических и психотропных веществах, в том числе, информации о распространении наркотиков, рецепты их изготовления и советы по употреблению;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7.7.3. использовать Приложение для опубликования порнографических изображений несовершеннолетних и (или) объявления о привлечении несовершеннолетних в качестве исполнителей для участия в зрелищных мероприятиях порнографического характера;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7.7.4. передавать пароль от Приложения лицам, не имеющим надлежащих полномочий на осуществление действий от имени Лицензиата;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7.7.5. осуществлять действия, направленные на дестабилизацию функционирования Приложения, осуществлять попытки несанкционированного доступа к управлению Приложением или его закрытых разделов (в том числе к разделам, доступ к которым разрешен только Лицензиару), а также осуществлять любые иные аналогичные действия;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7.7.6. осуществлять любые иные действия, противоречащие политике и целям создания Приложения или нарушающие действующее законодательство Российской Федерации. 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8. Гарантии и ограничения ответственности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8.1. Лицензиат гарантирует, что им будут приняты надлежащие меры для обеспечения конфиденциальности учетных данных (логина и пароля), используемых им для авторизации в Приложении и предотвращения возможности авторизации другими лицами.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8.2. Лицензиар не несет ответственности за возможные сбои и перерывы в работе Приложения и вызванные ими потерю информации. Лицензиар не несет ответственности за любой ущерб мобильному устройству Лицензиата, любому другому оборудованию или программному обеспечению, вызванный или связанный с использованием Приложения.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8.3. Лицензиар не несет ответственности за подбор пароля для доступа к Приложению третьими лицами и любые действия, совершенные ими с использованием Приложения.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8.4. Лицензиар не несет ответственности за любой ущерб, включая упущенную выгоду, или вред, вызванные в связи с использованием Приложения или иных материалов, к которым Лицензиат или иные лица получили доступ при помощи Приложения, даже если Лицензиар предупреждал или указывал на возможность причинения такого ущерба или вреда.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8.5. Лицензиар не несет ответственности за утерю Лицензиатом возможности доступа к Приложению (утрату логина, пароля, иной информации, необходимой для использования Приложения).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8.6. Лицензиар не несет ответственности за отсутствие у Лицензиата доступа в Интернет, за качество услуг провайдеров связи сети Интернет, с которыми Лицензиатом заключены соглашения о предоставлении услуг по доступу к сети Интернет. Любые платежи за услуги связи, в том числе оказываемые операторами сотовой связи или поставщиками Интернет-услуг, уплачиваются Лицензиатом самостоятельно.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8.8.  Лицензиар не несет ответственности за возникновение прямого или косвенного ущерба и упущенной выгоды Лицензиата либо иных третьих лиц, причиненного в результате: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8.8.1. несанкционированного доступа любых третьих лиц к личной информации Лицензиата;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8.8.2. блокировки или прекращением функционирования Приложения в целом.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8.9. Лицензиар не обязан предоставлять Лицензиату какие-либо доказательства, документы и прочее, свидетельствующие о нарушении Лицензиатом условий Соглашения, в результате которого Лицензиату было отказано в предоставлении доступа к Приложению или ее отдельным функциям, если такой доступ был прекращен и/или ограничен.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8.10. Лицензиар не может нести ответственность за действия Лицензиата по использованию Приложения.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8.11. Претензии Лицензиата, направляемые Лицензиару, принимаются и рассматриваются при условии указания актуальных и достоверных данных Лицензиата.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9. Территория и срок действия Соглашения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9.1. Лицензиат вправе использовать Приложение способами, описанными в настоящем Соглашении, на всей территории Российской Федерации, а также иных территориях, на которых оно доступно с использованием мобильных устройств и программ.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9.2. Право использования Приложения предоставляется Лицензиату в течение всего срока функционирования Приложения, если только исчерпание предоставленного объема прав не наступит ранее.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9.3. Настоящее соглашение прекращает свое действие, в случае если: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9.3.1. Лицензиар примет решение об изменении положений настоящего Соглашения, прекращении настоящего Соглашения в отношении Лицензиата, прекращении администрирования и обслуживания Приложения и прекращении к нему доступа или прекращения доступа к использованию Приложения в отношении Лицензиата;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9.3.2. Лицензиар вправе в любое время без уведомления Лицензиата и без объяснения причин прекратить настоящее Соглашение в одностороннем внесудебном порядке с немедленным прекращением доступа и возможности использовать Приложение и без возмещения каких-либо затрат, убытков или возврата, полученного по Соглашению, в том числе в случае: закрытия Приложения; любого, в том числе однократного, нарушения Лицензиатом условий настоящего Соглашения.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9.4. Лицензиар вправе в любое время без уведомления Лицензиата и без объяснения причин приостановить доступ и возможность использовать Приложение без возмещения каких-либо затрат, убытков или возврата, полученного по Соглашению, в том числе в случае любого, в том числе однократного, нарушения Лицензиатом условий настоящего Соглашения.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9.5. Настоящее Соглашение не предусматривает уступку каких-либо исключительных прав или выдачу исключительной лицензии на любые составляющие Приложения от Лицензиара к Лицензиату.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9.6. Соглашаясь с условиями настоящего Соглашения, Лицензиат подтверждает свои право- и дееспособность, подтверждает достоверность введенных им при регистрации данных и принимает на себя всю ответственность за их точность, полноту и достоверность. Лицензиат принимает на себя все возможные риски, связанные с допущенными им ошибками и неточностями в предоставленных данных.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В случае если Лицензиату в соответствии с законами его государства запрещено пользоваться сетью Интернет или существуют иные законодательные ограничения, включая ограничения по возрасту допуска к такому программному обеспечению, Лицензиат не вправе использовать Приложение. В таком случае Лицензиат самостоятельно несет ответственность за использование Приложения на территории своего государства в нарушение местного законодательства. 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10. Заключительные положения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10.1. Настоящее Соглашение может быть изменено Лицензиаром без какого-либо предварительного уведомления. Любые изменения в Соглашении, осуществленные Лицензиаром в одностороннем порядке, вступают в силу в день, следующий за днем опубликования таких изменений в Приложении. Лицензиат обязуется самостоятельно проверять Соглашение на предмет изменений. Неосуществление Лицензиатом действий по ознакомлению с Соглашением и/или измененной редакцией Соглашения не может служить основанием для неисполнения Лицензиатом своих обязательств и несоблюдения Лицензиатом ограничений, установленных Соглашением.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10.2. Недействительность одного или нескольких положений Соглашения, признанная в установленном порядке вступившим в силу решением суда, не влечет для Сторон недействительности Соглашения в целом. В случае признания одного или нескольких положений Соглашения в установленном порядке недействительными, Стороны обязуются исполнять взятые на себя по Соглашению обязательства максимально близким к подразумеваемым Сторонами при заключении и/или согласованном изменении Соглашения способом.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10.3. Настоящее Соглашение и взаимоотношения Сторон в связи с настоящим Соглашением и использованием Приложения регулируются законодательством Российской Федерации.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10.4. В отношении формы и способа заключения настоящего Соглашения применяются нормы Гражданского Кодекса Российской Федерации («ГК РФ»), регулирующие порядок и условия заключения договора путем акцепта публичной оферты.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10.5. Все споры сторон по настоящему Соглашению подлежат разрешению путем переписки и переговоров с использованием обязательного досудебного (претензионного) порядка. В случае невозможности достичь согласия между сторонами путем переговоров в течение 60 (шестидесяти) календарных дней с момента получения другой Стороной письменной претензии, рассмотрение спора должно быть передано любой заинтересованной стороной в суд по месту нахождения Лицензиара (с исключением подсудности дела любым иным судам).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10.6. Обращения, предложения и претензии физических и юридических лиц к Лицензиару, связанные с содержанием и функционированием Приложения, нарушениями прав и интересов третьих лиц, требований законодательства Российской Федерации, а также для запросов уполномоченных законодательством Российской Федерации лиц могут быть направлены на адрес электронной почты: </w:t>
      </w:r>
      <w:hyperlink r:id="rId2">
        <w:r>
          <w:rPr>
            <w:rFonts w:cs="Times New Roman" w:ascii="Times New Roman" w:hAnsi="Times New Roman"/>
            <w:sz w:val="24"/>
          </w:rPr>
          <w:t>support@taxsee.ru</w:t>
        </w:r>
      </w:hyperlink>
      <w:r>
        <w:rPr>
          <w:rFonts w:cs="Times New Roman" w:ascii="Times New Roman" w:hAnsi="Times New Roman"/>
          <w:sz w:val="24"/>
        </w:rPr>
        <w:t>, а также посредством соответствующего раздела Приложения.</w:t>
      </w:r>
    </w:p>
    <w:sectPr>
      <w:type w:val="nextPage"/>
      <w:pgSz w:w="11906" w:h="16838"/>
      <w:pgMar w:left="1418" w:right="566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2"/>
  <w:embedSystemFonts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Arial" w:hAnsi="Arial" w:eastAsia="Calibri" w:cs="Arial"/>
      <w:color w:val="auto"/>
      <w:kern w:val="0"/>
      <w:sz w:val="20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Pr/>
  </w:style>
  <w:style w:type="character" w:styleId="Style14">
    <w:name w:val="Интернет-ссылка"/>
    <w:rPr>
      <w:color w:val="0000FF"/>
      <w:u w:val="single"/>
    </w:rPr>
  </w:style>
  <w:style w:type="character" w:styleId="Style15" w:customStyle="1">
    <w:name w:val="Текст выноски Знак"/>
    <w:link w:val="a8"/>
    <w:uiPriority w:val="99"/>
    <w:semiHidden/>
    <w:qFormat/>
    <w:rsid w:val="005b49d5"/>
    <w:rPr>
      <w:rFonts w:ascii="Tahoma" w:hAnsi="Tahoma" w:eastAsia="Calibri" w:cs="Tahoma"/>
      <w:sz w:val="16"/>
      <w:szCs w:val="16"/>
      <w:lang w:eastAsia="zh-CN"/>
    </w:rPr>
  </w:style>
  <w:style w:type="character" w:styleId="Annotationreference">
    <w:name w:val="annotation reference"/>
    <w:uiPriority w:val="99"/>
    <w:semiHidden/>
    <w:unhideWhenUsed/>
    <w:qFormat/>
    <w:rsid w:val="005b49d5"/>
    <w:rPr>
      <w:sz w:val="16"/>
      <w:szCs w:val="16"/>
    </w:rPr>
  </w:style>
  <w:style w:type="character" w:styleId="Style16" w:customStyle="1">
    <w:name w:val="Текст примечания Знак"/>
    <w:link w:val="ab"/>
    <w:uiPriority w:val="99"/>
    <w:semiHidden/>
    <w:qFormat/>
    <w:rsid w:val="005b49d5"/>
    <w:rPr>
      <w:rFonts w:ascii="Arial" w:hAnsi="Arial" w:eastAsia="Calibri" w:cs="Arial"/>
      <w:lang w:eastAsia="zh-CN"/>
    </w:rPr>
  </w:style>
  <w:style w:type="character" w:styleId="Style17" w:customStyle="1">
    <w:name w:val="Тема примечания Знак"/>
    <w:link w:val="ad"/>
    <w:uiPriority w:val="99"/>
    <w:semiHidden/>
    <w:qFormat/>
    <w:rsid w:val="005b49d5"/>
    <w:rPr>
      <w:rFonts w:ascii="Arial" w:hAnsi="Arial" w:eastAsia="Calibri" w:cs="Arial"/>
      <w:b/>
      <w:bCs/>
      <w:lang w:eastAsia="zh-CN"/>
    </w:rPr>
  </w:style>
  <w:style w:type="character" w:styleId="11" w:customStyle="1">
    <w:name w:val="Неразрешенное упоминание1"/>
    <w:uiPriority w:val="99"/>
    <w:semiHidden/>
    <w:unhideWhenUsed/>
    <w:qFormat/>
    <w:rsid w:val="00b86df4"/>
    <w:rPr>
      <w:color w:val="605E5C"/>
      <w:shd w:fill="E1DFDD" w:val="clea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>
      <w:rFonts w:ascii="Times New Roman" w:hAnsi="Times New Roman" w:eastAsia="Calibri"/>
    </w:rPr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>
      <w:sz w:val="28"/>
    </w:rPr>
  </w:style>
  <w:style w:type="character" w:styleId="WW8Num4z0">
    <w:name w:val="WW8Num4z0"/>
    <w:qFormat/>
    <w:rPr>
      <w:rFonts w:ascii="Times New Roman" w:hAnsi="Times New Roman" w:eastAsia="Times New Roman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Times New Roman" w:hAnsi="Times New Roman" w:eastAsia="Times New Roman"/>
      <w:sz w:val="28"/>
      <w:szCs w:val="28"/>
    </w:rPr>
  </w:style>
  <w:style w:type="character" w:styleId="WW8Num6z1">
    <w:name w:val="WW8Num6z1"/>
    <w:qFormat/>
    <w:rPr>
      <w:sz w:val="28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Symbol" w:hAnsi="Symbol" w:eastAsia="Symbol"/>
    </w:rPr>
  </w:style>
  <w:style w:type="character" w:styleId="WW8Num8z1">
    <w:name w:val="WW8Num8z1"/>
    <w:qFormat/>
    <w:rPr>
      <w:rFonts w:ascii="Courier New" w:hAnsi="Courier New" w:eastAsia="Courier New"/>
    </w:rPr>
  </w:style>
  <w:style w:type="character" w:styleId="WW8Num8z2">
    <w:name w:val="WW8Num8z2"/>
    <w:qFormat/>
    <w:rPr>
      <w:rFonts w:ascii="Wingdings" w:hAnsi="Wingdings" w:eastAsia="Wingdings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Style18">
    <w:name w:val="Нижний колонтитул Знак"/>
    <w:qFormat/>
    <w:rPr/>
  </w:style>
  <w:style w:type="character" w:styleId="Style19">
    <w:name w:val="Верхний колонтитул Знак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Style20">
    <w:name w:val="Текст сноски Знак"/>
    <w:qFormat/>
    <w:rPr>
      <w:sz w:val="18"/>
    </w:rPr>
  </w:style>
  <w:style w:type="character" w:styleId="12">
    <w:name w:val="Нижний колонтитул Знак1"/>
    <w:qFormat/>
    <w:rPr/>
  </w:style>
  <w:style w:type="character" w:styleId="13">
    <w:name w:val="Верхний колонтитул Знак1"/>
    <w:qFormat/>
    <w:rPr/>
  </w:style>
  <w:style w:type="character" w:styleId="Style21">
    <w:name w:val="Выделенная цитата Знак"/>
    <w:qFormat/>
    <w:rPr>
      <w:i/>
    </w:rPr>
  </w:style>
  <w:style w:type="character" w:styleId="2">
    <w:name w:val="Цитата 2 Знак"/>
    <w:qFormat/>
    <w:rPr>
      <w:i/>
    </w:rPr>
  </w:style>
  <w:style w:type="character" w:styleId="Style22">
    <w:name w:val="Подзаголовок Знак"/>
    <w:qFormat/>
    <w:rPr/>
  </w:style>
  <w:style w:type="character" w:styleId="Style23">
    <w:name w:val="Заголовок Знак"/>
    <w:qFormat/>
    <w:rPr>
      <w:sz w:val="48"/>
    </w:rPr>
  </w:style>
  <w:style w:type="character" w:styleId="9">
    <w:name w:val="Заголовок 9 Знак"/>
    <w:qFormat/>
    <w:rPr>
      <w:rFonts w:ascii="Arial" w:hAnsi="Arial" w:eastAsia="Arial"/>
      <w:i/>
      <w:iCs/>
      <w:sz w:val="21"/>
      <w:szCs w:val="21"/>
    </w:rPr>
  </w:style>
  <w:style w:type="character" w:styleId="8">
    <w:name w:val="Заголовок 8 Знак"/>
    <w:qFormat/>
    <w:rPr>
      <w:rFonts w:ascii="Arial" w:hAnsi="Arial" w:eastAsia="Arial"/>
      <w:i/>
      <w:iCs/>
      <w:sz w:val="22"/>
      <w:szCs w:val="22"/>
    </w:rPr>
  </w:style>
  <w:style w:type="character" w:styleId="7">
    <w:name w:val="Заголовок 7 Знак"/>
    <w:qFormat/>
    <w:rPr>
      <w:rFonts w:ascii="Arial" w:hAnsi="Arial" w:eastAsia="Arial"/>
      <w:b/>
      <w:bCs/>
      <w:i/>
      <w:iCs/>
      <w:sz w:val="22"/>
      <w:szCs w:val="22"/>
    </w:rPr>
  </w:style>
  <w:style w:type="character" w:styleId="6">
    <w:name w:val="Заголовок 6 Знак"/>
    <w:qFormat/>
    <w:rPr>
      <w:rFonts w:ascii="Arial" w:hAnsi="Arial" w:eastAsia="Arial"/>
      <w:b/>
      <w:bCs/>
      <w:sz w:val="22"/>
      <w:szCs w:val="22"/>
    </w:rPr>
  </w:style>
  <w:style w:type="character" w:styleId="5">
    <w:name w:val="Заголовок 5 Знак"/>
    <w:qFormat/>
    <w:rPr>
      <w:rFonts w:ascii="Arial" w:hAnsi="Arial" w:eastAsia="Arial"/>
      <w:b/>
      <w:bCs/>
    </w:rPr>
  </w:style>
  <w:style w:type="character" w:styleId="4">
    <w:name w:val="Заголовок 4 Знак"/>
    <w:qFormat/>
    <w:rPr>
      <w:rFonts w:ascii="Arial" w:hAnsi="Arial" w:eastAsia="Arial"/>
      <w:b/>
      <w:bCs/>
      <w:sz w:val="26"/>
      <w:szCs w:val="26"/>
    </w:rPr>
  </w:style>
  <w:style w:type="character" w:styleId="3">
    <w:name w:val="Заголовок 3 Знак"/>
    <w:qFormat/>
    <w:rPr>
      <w:rFonts w:ascii="Arial" w:hAnsi="Arial" w:eastAsia="Arial"/>
      <w:sz w:val="30"/>
      <w:szCs w:val="30"/>
    </w:rPr>
  </w:style>
  <w:style w:type="character" w:styleId="21">
    <w:name w:val="Заголовок 2 Знак"/>
    <w:qFormat/>
    <w:rPr>
      <w:rFonts w:ascii="Arial" w:hAnsi="Arial" w:eastAsia="Arial"/>
      <w:sz w:val="34"/>
    </w:rPr>
  </w:style>
  <w:style w:type="character" w:styleId="14">
    <w:name w:val="Заголовок 1 Знак"/>
    <w:qFormat/>
    <w:rPr>
      <w:rFonts w:ascii="Arial" w:hAnsi="Arial" w:eastAsia="Arial"/>
      <w:sz w:val="40"/>
      <w:szCs w:val="40"/>
    </w:rPr>
  </w:style>
  <w:style w:type="paragraph" w:styleId="Style24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5">
    <w:name w:val="Body Text"/>
    <w:basedOn w:val="Normal"/>
    <w:pPr>
      <w:spacing w:before="0" w:after="120"/>
    </w:pPr>
    <w:rPr/>
  </w:style>
  <w:style w:type="paragraph" w:styleId="Style26">
    <w:name w:val="List"/>
    <w:basedOn w:val="Style25"/>
    <w:pPr/>
    <w:rPr>
      <w:rFonts w:cs="Lohit Hindi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Lohit Devanagari"/>
    </w:rPr>
  </w:style>
  <w:style w:type="paragraph" w:styleId="Style29">
    <w:name w:val="Title"/>
    <w:basedOn w:val="Normal"/>
    <w:next w:val="Style25"/>
    <w:qFormat/>
    <w:pPr>
      <w:keepNext w:val="true"/>
      <w:spacing w:before="240" w:after="120"/>
    </w:pPr>
    <w:rPr>
      <w:rFonts w:eastAsia="Droid Sans Fallback" w:cs="Lohit Hind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</w:rPr>
  </w:style>
  <w:style w:type="paragraph" w:styleId="15" w:customStyle="1">
    <w:name w:val="Указатель1"/>
    <w:basedOn w:val="Normal"/>
    <w:qFormat/>
    <w:pPr>
      <w:suppressLineNumbers/>
    </w:pPr>
    <w:rPr>
      <w:rFonts w:cs="Lohit Hindi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5b49d5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ac"/>
    <w:uiPriority w:val="99"/>
    <w:semiHidden/>
    <w:unhideWhenUsed/>
    <w:qFormat/>
    <w:rsid w:val="005b49d5"/>
    <w:pPr/>
    <w:rPr>
      <w:szCs w:val="20"/>
    </w:rPr>
  </w:style>
  <w:style w:type="paragraph" w:styleId="Annotationsubject">
    <w:name w:val="annotation subject"/>
    <w:basedOn w:val="Annotationtext"/>
    <w:next w:val="Annotationtext"/>
    <w:link w:val="ae"/>
    <w:uiPriority w:val="99"/>
    <w:semiHidden/>
    <w:unhideWhenUsed/>
    <w:qFormat/>
    <w:rsid w:val="005b49d5"/>
    <w:pPr/>
    <w:rPr>
      <w:b/>
      <w:b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Indexheading">
    <w:name w:val="index heading"/>
    <w:basedOn w:val="Normal"/>
    <w:qFormat/>
    <w:pPr/>
    <w:rPr>
      <w:rFonts w:eastAsia="Arial"/>
      <w:lang w:eastAsia="ar-SA"/>
    </w:rPr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Liberation Serif"/>
      <w:color w:val="auto"/>
      <w:kern w:val="0"/>
      <w:sz w:val="22"/>
      <w:szCs w:val="22"/>
      <w:lang w:val="ru-RU" w:eastAsia="ar-SA" w:bidi="ar-SA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Liberation Serif"/>
      <w:color w:val="auto"/>
      <w:kern w:val="0"/>
      <w:sz w:val="22"/>
      <w:szCs w:val="22"/>
      <w:lang w:val="ru-RU"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upport@taxsee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LibreOffice/6.4.7.2$Linux_X86_64 LibreOffice_project/40$Build-2</Application>
  <Pages>7</Pages>
  <Words>2771</Words>
  <Characters>20967</Characters>
  <CharactersWithSpaces>23724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tkachenko_yn</dc:creator>
  <dc:description/>
  <dc:language>ru-RU</dc:language>
  <cp:lastModifiedBy/>
  <dcterms:modified xsi:type="dcterms:W3CDTF">2025-02-18T13:30:55Z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