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  <w:t>TAXSEE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  <w:t>Driver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для 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val="en-US"/>
        </w:rPr>
        <w:t>Android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ИНСТРУКЦИЯ ПО УСТАНОВКЕ МОБИЛЬНОГО ПРИЛОЖЕНИЯ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Листов 9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/>
      </w:r>
    </w:p>
    <w:p>
      <w:pPr>
        <w:pStyle w:val="Normal"/>
        <w:rPr>
          <w:rFonts w:ascii="Times New Roman" w:hAnsi="Times New Roman" w:eastAsia="Calibri" w:cs="Times New Roman"/>
          <w:b/>
          <w:b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В документе приведены сведения, необходимые пользователю для установки приложения TAXSEE Driver для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Перечислены назначения и условия применения, описана подготовка к работе.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ar-SA" w:bidi="ar-SA"/>
        </w:rPr>
        <w:t xml:space="preserve">ОО "МАКСИМ.ПЛАТФОРМА"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ar-SA" w:bidi="ar-SA"/>
        </w:rPr>
        <w:t>(ИНН 4501226750).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3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 Порядок использования приложения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70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Регистрация в приложении новых пользователей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70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2.3.2 Использование приложения при наличии логина/пароля</w:t>
        <w:tab/>
        <w:t>8</w:t>
      </w:r>
      <w:bookmarkStart w:id="0" w:name="__DdeLink__19777_618408524"/>
      <w:bookmarkEnd w:id="0"/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bookmarkStart w:id="1" w:name="_GoBack"/>
      <w:bookmarkStart w:id="2" w:name="_GoBack"/>
      <w:bookmarkEnd w:id="2"/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Требования настоящего документа применяются при установке программы TAXSEE Driver для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 на устройство пользователя.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Функциональным назначением программы является просмотр Пользователями (Партнеры) информации (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актуальные сведения о существующей потребности в услуге по перевозке пассажиров и багажа, услуге по перевозке грузов, доставке товаров, погрузочно-разгрузочных работах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) о заказах, принятых в систему, сопровождение и изменение данных заказов, актуализацию сведений о Пользователе, а также иные взаимодействия с другими Пользователями, технической поддержкой посредством приложения, установленного на мобильные телефоны, коммуникаторы и прочие мобильные устройства, подключенные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НАЗНАЧЕНИЕ И УСЛОВИЯ ПРИМЕНЕНИЯ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TAXSEE Driver для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cs="Times New Roman" w:ascii="Times New Roman" w:hAnsi="Times New Roman"/>
          <w:sz w:val="24"/>
          <w:szCs w:val="24"/>
        </w:rPr>
        <w:t xml:space="preserve"> предназначен для автоматизации процессов управления работой </w:t>
      </w:r>
      <w:r>
        <w:rPr>
          <w:rFonts w:ascii="Times New Roman" w:hAnsi="Times New Roman"/>
          <w:sz w:val="24"/>
          <w:szCs w:val="24"/>
        </w:rPr>
        <w:t>перевозчиков, оказывающих услуги в сфере транспорта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Тип ЭВМ пользователя: мобильный телефон или планшетный ПК на базе ОС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lang w:val="en-US"/>
        </w:rPr>
        <w:t>Android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версии 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4.1.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и новее. Совместимо со следующими техническими устройствами: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Style w:val="PlaceholderText"/>
          <w:rFonts w:ascii="Times New Roman" w:hAnsi="Times New Roman"/>
          <w:color w:val="000000"/>
          <w:sz w:val="24"/>
          <w:szCs w:val="24"/>
        </w:rPr>
      </w:pPr>
      <w:r>
        <w:rPr>
          <w:rStyle w:val="PlaceholderText"/>
          <w:rFonts w:ascii="Times New Roman" w:hAnsi="Times New Roman"/>
          <w:color w:val="000000"/>
          <w:sz w:val="24"/>
          <w:szCs w:val="24"/>
        </w:rPr>
        <w:t>м</w:t>
      </w:r>
      <w:r>
        <w:rPr>
          <w:rStyle w:val="PlaceholderText"/>
          <w:rFonts w:eastAsia="Calibri" w:cs="Times New Roman" w:ascii="Times New Roman" w:hAnsi="Times New Roman"/>
          <w:color w:val="000000"/>
          <w:sz w:val="24"/>
          <w:szCs w:val="24"/>
        </w:rPr>
        <w:t xml:space="preserve">обильный телефон, коммуникатор, навигатор или иное мобильное устройство на базе ОС </w:t>
      </w:r>
      <w:r>
        <w:rPr>
          <w:rStyle w:val="PlaceholderText"/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Android</w:t>
      </w:r>
      <w:r>
        <w:rPr>
          <w:rStyle w:val="PlaceholderText"/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полного использования программы необходима регистрация пользователя (логин и пароль).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2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  <w:t>2.1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Доступ к </w:t>
      </w:r>
      <w:r>
        <w:rPr>
          <w:rFonts w:cs="Times New Roman" w:ascii="Times New Roman" w:hAnsi="Times New Roman"/>
          <w:sz w:val="24"/>
          <w:szCs w:val="24"/>
        </w:rPr>
        <w:t xml:space="preserve">TAXSEE Driver для Android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предоставляется по прямой ссылке на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  <w:t>2.2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Для загрузки программы при наличии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1) Открыть страницу с приложением в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 (ссылка на Интернет-ресурс: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https://play.google.com/store/apps/details?id=com.taxsee.driver&amp;hl=ru</w:t>
        </w:r>
      </w:hyperlink>
      <w:r>
        <w:rPr>
          <w:rFonts w:eastAsia="Calibri" w:cs="Times New Roman" w:ascii="Times New Roman" w:hAnsi="Times New Roman"/>
          <w:color w:val="00000A"/>
          <w:sz w:val="24"/>
          <w:szCs w:val="24"/>
        </w:rPr>
        <w:t>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2)  Установить приложение на устройство, нажав на кнопку «Установить» (рисунок 1).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/>
        <w:drawing>
          <wp:inline distT="0" distB="0" distL="0" distR="0">
            <wp:extent cx="2301240" cy="4090035"/>
            <wp:effectExtent l="0" t="0" r="0" b="0"/>
            <wp:docPr id="1" name="Рисунок 1" descr="S:\Мои документы\Юристы\LAW\RU\Интеллектуальная собственность\Программы для ЭВМ\Реестр отечественного ПО (Минсвязь)\Taxsee Driver для Android\пики\photo_2020-03-06_19-1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:\Мои документы\Юристы\LAW\RU\Интеллектуальная собственность\Программы для ЭВМ\Реестр отечественного ПО (Минсвязь)\Taxsee Driver для Android\пики\photo_2020-03-06_19-13-44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Рисунок 1 – Установка приложения на устройство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Для загрузки программы без прямой ссылки на Интернет-ресурс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1) Перейти в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2) Ввести в поисковой строке «</w:t>
      </w:r>
      <w:r>
        <w:rPr>
          <w:rFonts w:cs="Times New Roman" w:ascii="Times New Roman" w:hAnsi="Times New Roman"/>
          <w:sz w:val="24"/>
          <w:szCs w:val="24"/>
        </w:rPr>
        <w:t>TAXSEE Driver» (рисунок 2);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Установить приложение на устройство, нажав на кнопку «Установить».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204720" cy="3919855"/>
            <wp:effectExtent l="0" t="0" r="0" b="0"/>
            <wp:docPr id="2" name="Рисунок 2" descr="S:\Мои документы\Юристы\LAW\RU\Интеллектуальная собственность\Программы для ЭВМ\Реестр отечественного ПО (Минсвязь)\Taxsee Driver для Android\пики\photo_2020-03-06_19-1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S:\Мои документы\Юристы\LAW\RU\Интеллектуальная собственность\Программы для ЭВМ\Реестр отечественного ПО (Минсвязь)\Taxsee Driver для Android\пики\photo_2020-03-06_19-13-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Рисунок 2 – Запрос в поисковую строку</w:t>
      </w:r>
    </w:p>
    <w:p>
      <w:pPr>
        <w:pStyle w:val="Normal"/>
        <w:keepNext w:val="true"/>
        <w:keepLines/>
        <w:spacing w:lineRule="auto" w:line="360" w:before="0" w:after="0"/>
        <w:ind w:left="709" w:hanging="0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left="709" w:hanging="0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left="709" w:hanging="0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left="709" w:hanging="0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  <w:t>2.3 Порядок использования приложения</w:t>
      </w:r>
    </w:p>
    <w:p>
      <w:pPr>
        <w:pStyle w:val="ListParagraph"/>
        <w:keepNext w:val="true"/>
        <w:keepLines/>
        <w:numPr>
          <w:ilvl w:val="2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  <w:t xml:space="preserve">Регистрация в приложении новых пользователей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Для регистрации нового пользователя в приложении </w:t>
      </w:r>
      <w:r>
        <w:rPr>
          <w:rFonts w:cs="Times New Roman" w:ascii="Times New Roman" w:hAnsi="Times New Roman"/>
          <w:sz w:val="24"/>
          <w:szCs w:val="24"/>
        </w:rPr>
        <w:t xml:space="preserve">TAXSEE Driver для Android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необходимо выполнить следующие действия: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Открыть приложение </w:t>
      </w:r>
      <w:r>
        <w:rPr>
          <w:rFonts w:cs="Times New Roman" w:ascii="Times New Roman" w:hAnsi="Times New Roman"/>
          <w:sz w:val="24"/>
          <w:szCs w:val="24"/>
        </w:rPr>
        <w:t>TAXSEE Driver для Android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Нажать кнопку «Регистрация» (рисунок 3);</w:t>
      </w:r>
    </w:p>
    <w:p>
      <w:pPr>
        <w:pStyle w:val="ListParagraph"/>
        <w:spacing w:lineRule="auto" w:line="360" w:before="0" w:after="0"/>
        <w:ind w:left="1069" w:hanging="0"/>
        <w:contextualSpacing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/>
        <w:drawing>
          <wp:inline distT="0" distB="0" distL="0" distR="0">
            <wp:extent cx="2303780" cy="4095115"/>
            <wp:effectExtent l="0" t="0" r="0" b="0"/>
            <wp:docPr id="3" name="Рисунок 3" descr="S:\Мои документы\Юристы\LAW\RU\Интеллектуальная собственность\Программы для ЭВМ\Реестр отечественного ПО (Минсвязь)\Taxsee Driver для Android\пики\photo_2020-03-06_19-13-42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S:\Мои документы\Юристы\LAW\RU\Интеллектуальная собственность\Программы для ЭВМ\Реестр отечественного ПО (Минсвязь)\Taxsee Driver для Android\пики\photo_2020-03-06_19-13-42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Рисунок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 xml:space="preserve"> 3 –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Форма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аутентификации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TAXSEE Driver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Android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  <w:lang w:val="en-US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В открывшемся окне выбрать страну и язык;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Выбрать город и ввести номер телефона;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После получения кода по СМС на указанный в предыдущей форме номер, ввести его в открывшееся окно;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Заполнить информацию о себе и данные транспорта;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Ссылка на приложение для водителей, логин и пароль для входа будут отправлены в СМС.</w:t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</w:rPr>
        <w:t>2.3.2 Использование приложения при наличии логина/пароля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Для проверки доступности </w:t>
      </w:r>
      <w:r>
        <w:rPr>
          <w:rFonts w:cs="Times New Roman" w:ascii="Times New Roman" w:hAnsi="Times New Roman"/>
          <w:sz w:val="24"/>
          <w:szCs w:val="24"/>
        </w:rPr>
        <w:t xml:space="preserve">TAXSEE Driver для Android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с устройства пользователя необходимо выполнить следующие действия: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Открыть приложение </w:t>
      </w:r>
      <w:r>
        <w:rPr>
          <w:rFonts w:cs="Times New Roman" w:ascii="Times New Roman" w:hAnsi="Times New Roman"/>
          <w:sz w:val="24"/>
          <w:szCs w:val="24"/>
        </w:rPr>
        <w:t>TAXSEE Driver для Android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; 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В форме аутентификации ввести пользовательский логин и пароль </w:t>
      </w:r>
      <w:r>
        <w:rPr>
          <w:rFonts w:cs="Times New Roman" w:ascii="Times New Roman" w:hAnsi="Times New Roman"/>
          <w:sz w:val="24"/>
          <w:szCs w:val="24"/>
        </w:rPr>
        <w:t>(рисунок 4)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. Нажать кнопку «Войти»;</w:t>
      </w:r>
    </w:p>
    <w:p>
      <w:pPr>
        <w:pStyle w:val="ListParagraph"/>
        <w:keepNext w:val="true"/>
        <w:keepLines/>
        <w:numPr>
          <w:ilvl w:val="0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Убедиться, что в окне открылся </w:t>
      </w:r>
      <w:r>
        <w:rPr>
          <w:rFonts w:cs="Times New Roman" w:ascii="Times New Roman" w:hAnsi="Times New Roman"/>
          <w:sz w:val="24"/>
          <w:szCs w:val="24"/>
        </w:rPr>
        <w:t>TAXSEE Driver для Android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После этих действий мобильное приложение установлено, активировано и готово к работе.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Функциональные характеристики и работа с приложением </w:t>
      </w:r>
      <w:r>
        <w:rPr>
          <w:rFonts w:cs="Times New Roman" w:ascii="Times New Roman" w:hAnsi="Times New Roman"/>
          <w:sz w:val="24"/>
          <w:szCs w:val="24"/>
        </w:rPr>
        <w:t xml:space="preserve">TAXSEE Driver для Android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описываются в документе «Руководство пользователя».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>При возникновении затруднений или ошибок, следует обратиться в службу поддержки.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/>
        <w:drawing>
          <wp:inline distT="0" distB="0" distL="0" distR="0">
            <wp:extent cx="2383155" cy="4237990"/>
            <wp:effectExtent l="0" t="0" r="0" b="0"/>
            <wp:docPr id="4" name="Рисунок 4" descr="S:\Мои документы\Юристы\LAW\RU\Интеллектуальная собственность\Программы для ЭВМ\Реестр отечественного ПО (Минсвязь)\Taxsee Driver для Android\пики\photo_2020-03-06_19-13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S:\Мои документы\Юристы\LAW\RU\Интеллектуальная собственность\Программы для ЭВМ\Реестр отечественного ПО (Минсвязь)\Taxsee Driver для Android\пики\photo_2020-03-06_19-13-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  <w:t xml:space="preserve">Рисунок 4 – форма аутентификации </w:t>
      </w:r>
      <w:r>
        <w:rPr>
          <w:rFonts w:cs="Times New Roman" w:ascii="Times New Roman" w:hAnsi="Times New Roman"/>
          <w:sz w:val="24"/>
          <w:szCs w:val="24"/>
        </w:rPr>
        <w:t xml:space="preserve">TAXSEE Driver для Android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/>
      </w:r>
    </w:p>
    <w:sectPr>
      <w:headerReference w:type="default" r:id="rId7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65263202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iPriority="0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15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00abd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7a017b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7a017b"/>
    <w:rPr/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1f14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qFormat/>
    <w:rsid w:val="00007dcc"/>
    <w:rPr>
      <w:color w:val="808080"/>
    </w:rPr>
  </w:style>
  <w:style w:type="character" w:styleId="Style18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11">
    <w:name w:val="Знак примечания1"/>
    <w:qFormat/>
    <w:rPr>
      <w:sz w:val="16"/>
    </w:rPr>
  </w:style>
  <w:style w:type="character" w:styleId="Style19">
    <w:name w:val="Текст примечания Знак"/>
    <w:qFormat/>
    <w:rPr>
      <w:rFonts w:ascii="Arial" w:hAnsi="Arial" w:eastAsia="Arial"/>
      <w:lang w:eastAsia="zh-CN"/>
    </w:rPr>
  </w:style>
  <w:style w:type="character" w:styleId="Style20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1">
    <w:name w:val="Неразрешенное упоминание"/>
    <w:qFormat/>
    <w:rPr>
      <w:color w:val="605E5C"/>
      <w:shd w:fill="E1DFDD" w:val="clear"/>
    </w:rPr>
  </w:style>
  <w:style w:type="character" w:styleId="L">
    <w:name w:val="l"/>
    <w:qFormat/>
    <w:rPr/>
  </w:style>
  <w:style w:type="character" w:styleId="12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00abd"/>
    <w:pPr>
      <w:spacing w:before="0" w:after="160"/>
      <w:ind w:left="720" w:hanging="0"/>
      <w:contextualSpacing/>
    </w:pPr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6"/>
    <w:uiPriority w:val="99"/>
    <w:unhideWhenUsed/>
    <w:rsid w:val="007a017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8"/>
    <w:uiPriority w:val="99"/>
    <w:unhideWhenUsed/>
    <w:rsid w:val="007a017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1f14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paragraph" w:styleId="Style30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14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5">
    <w:name w:val="Указатель1"/>
    <w:basedOn w:val="Normal"/>
    <w:qFormat/>
    <w:pPr/>
    <w:rPr>
      <w:rFonts w:eastAsia="Lohit Hindi"/>
      <w:lang w:eastAsia="ar-SA"/>
    </w:rPr>
  </w:style>
  <w:style w:type="paragraph" w:styleId="Style31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6">
    <w:name w:val="Текст примечания1"/>
    <w:basedOn w:val="Normal"/>
    <w:qFormat/>
    <w:pPr/>
    <w:rPr>
      <w:sz w:val="20"/>
    </w:rPr>
  </w:style>
  <w:style w:type="paragraph" w:styleId="Style32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ohit Devanagari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Style33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ay.google.com/store/apps/details?id=com.taxsee.driver&amp;hl=r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E990-73D3-478C-B63D-2A6E8809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LibreOffice/6.4.7.2$Linux_X86_64 LibreOffice_project/40$Build-2</Application>
  <Pages>9</Pages>
  <Words>585</Words>
  <Characters>3998</Characters>
  <CharactersWithSpaces>4523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2025-02-18T13:58:57Z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