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программы: «TAXSEE Driver для Harmony OS».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Правообладатель: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 xml:space="preserve">ОО "МАКСИМ.ПЛАТФОРМА"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pacing w:val="0"/>
          <w:sz w:val="28"/>
          <w:szCs w:val="28"/>
          <w:lang w:eastAsia="ar-SA"/>
        </w:rPr>
        <w:t>(ИНН 4501226750)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ИСПОЛЬЗОВАНИЯ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может эксплуатироваться только авторизованными пользователями. Авторизованные пользователи – лица, которые прошли процедуру регистрации и получили логин и пароль для доступа к программе.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Конечный пользователь </w:t>
      </w:r>
      <w:bookmarkStart w:id="0" w:name="_Hlk43217035"/>
      <w:r>
        <w:rPr>
          <w:rFonts w:cs="Times New Roman" w:ascii="Times New Roman" w:hAnsi="Times New Roman"/>
          <w:sz w:val="28"/>
          <w:szCs w:val="28"/>
        </w:rPr>
        <w:t>вправе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использовать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программу способами,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описанными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лицензионном </w:t>
      </w:r>
      <w:r>
        <w:rPr>
          <w:rFonts w:cs="Times New Roman" w:ascii="Times New Roman" w:hAnsi="Times New Roman"/>
          <w:sz w:val="28"/>
          <w:szCs w:val="28"/>
        </w:rPr>
        <w:t>договоре,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всей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территории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Российской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Федерации</w:t>
      </w:r>
      <w:bookmarkEnd w:id="0"/>
      <w:r>
        <w:rPr>
          <w:rFonts w:cs="Times New Roman" w:ascii="Times New Roman" w:hAnsi="Times New Roman"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также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иных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территориях,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которых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доступно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использованием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различных типов </w:t>
      </w:r>
      <w:r>
        <w:rPr>
          <w:rFonts w:cs="Times New Roman" w:ascii="Times New Roman" w:hAnsi="Times New Roman"/>
          <w:sz w:val="28"/>
          <w:szCs w:val="28"/>
        </w:rPr>
        <w:t>ЭВМ.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Стоимость программного обеспечения рассчитывается индивидуально.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СИСТЕМНЫЕ ТРЕБОВАНИЯ К ЭМВ ПОЛЬЗОВАТЕЛЯ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работы программы необходимы: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мобильное устройство на базе операционной системы </w:t>
      </w:r>
      <w:r>
        <w:rPr>
          <w:rFonts w:cs="Times New Roman" w:ascii="Times New Roman" w:hAnsi="Times New Roman"/>
          <w:sz w:val="28"/>
          <w:szCs w:val="28"/>
          <w:lang w:val="en-US"/>
        </w:rPr>
        <w:t>Harmony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программа, установленная на устройство пользователя,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сети Интернет,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программе «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TAXSEE Driver </w:t>
      </w:r>
      <w:r>
        <w:rPr>
          <w:rFonts w:cs="Times New Roman" w:ascii="Times New Roman" w:hAnsi="Times New Roman"/>
          <w:sz w:val="28"/>
          <w:szCs w:val="28"/>
        </w:rPr>
        <w:t xml:space="preserve">для </w:t>
      </w:r>
      <w:r>
        <w:rPr>
          <w:rFonts w:cs="Times New Roman" w:ascii="Times New Roman" w:hAnsi="Times New Roman"/>
          <w:sz w:val="28"/>
          <w:szCs w:val="28"/>
          <w:lang w:val="en-US"/>
        </w:rPr>
        <w:t>Harmony OS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ListParagraph"/>
        <w:spacing w:lineRule="auto" w:line="240" w:before="0" w:after="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2"/>
        <w:ind w:left="2149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Состав и содержание дистрибутивного носителя данных</w:t>
      </w:r>
    </w:p>
    <w:p>
      <w:pPr>
        <w:pStyle w:val="ListParagraph"/>
        <w:spacing w:lineRule="auto" w:line="240" w:before="0" w:after="2"/>
        <w:ind w:left="1429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Доступ к мобильному приложению «TAXSEE Driver для Harmony OS» предоставляется для мобильных устройств на базе операционной системы Harmony OS.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Установка программы возможна с помощью прямой ссылки на магазин приложений AppGallery или с помощью установочного файла .apk.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2"/>
        <w:ind w:left="2149" w:hanging="0"/>
        <w:contextualSpacing/>
        <w:jc w:val="both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Установка приложения «TAXSEE Driver для Harmony OS»</w:t>
      </w:r>
    </w:p>
    <w:p>
      <w:pPr>
        <w:pStyle w:val="ListParagraph"/>
        <w:spacing w:lineRule="auto" w:line="240" w:before="0" w:after="2"/>
        <w:ind w:left="1429" w:hanging="0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загрузки программы с помощью магазина приложений AppGallery необходимо: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Перейти на страницу с приложением в AppGallery (ссылка на Интернет-ресурс: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> HYPERLINK "https://appgallery.huawei.com/" \l "/app/C100880141"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https://appgallery.huawei.com/#/app/C100880141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Установить приложение на устройство, нажав на кнопку «Установить» (рис. 1).</w:t>
      </w:r>
    </w:p>
    <w:p>
      <w:pPr>
        <w:pStyle w:val="Normal"/>
        <w:spacing w:lineRule="auto" w:line="240" w:before="0" w:after="2"/>
        <w:ind w:left="709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5039995" cy="314642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Установка приложения «TAXSEE Driver для Harmony OS» из магазина приложений AppGallery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e43e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3eb0"/>
    <w:rPr>
      <w:color w:val="605E5C"/>
      <w:shd w:fill="E1DFDD" w:val="clear"/>
    </w:rPr>
  </w:style>
  <w:style w:type="character" w:styleId="Style14">
    <w:name w:val="Неразрешенное упоминание"/>
    <w:qFormat/>
    <w:rPr>
      <w:color w:val="605E5C"/>
      <w:shd w:fill="E1DFDD" w:val="clear"/>
    </w:rPr>
  </w:style>
  <w:style w:type="character" w:styleId="L">
    <w:name w:val="l"/>
    <w:qFormat/>
    <w:rPr/>
  </w:style>
  <w:style w:type="character" w:styleId="Style15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6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7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13">
    <w:name w:val="Заголовок 1 Знак"/>
    <w:qFormat/>
    <w:rPr>
      <w:rFonts w:ascii="Calibri Light" w:hAnsi="Calibri Light" w:eastAsia="0"/>
      <w:color w:val="2F5496"/>
      <w:sz w:val="32"/>
      <w:szCs w:val="32"/>
    </w:rPr>
  </w:style>
  <w:style w:type="character" w:styleId="Style19">
    <w:name w:val="Нижний колонтитул Знак"/>
    <w:qFormat/>
    <w:rPr/>
  </w:style>
  <w:style w:type="character" w:styleId="Style20">
    <w:name w:val="Верхний колонтитул Знак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43eb0"/>
    <w:pPr>
      <w:spacing w:before="0" w:after="160"/>
      <w:ind w:left="720" w:hanging="0"/>
      <w:contextualSpacing/>
    </w:pPr>
    <w:rPr/>
  </w:style>
  <w:style w:type="paragraph" w:styleId="TOCHeading">
    <w:name w:val="TOC Heading"/>
    <w:basedOn w:val="1"/>
    <w:next w:val="Normal"/>
    <w:qFormat/>
    <w:pPr/>
    <w:rPr>
      <w:lang w:eastAsia="ru-RU"/>
    </w:rPr>
  </w:style>
  <w:style w:type="paragraph" w:styleId="21">
    <w:name w:val="TOC 2"/>
    <w:basedOn w:val="Normal"/>
    <w:next w:val="Normal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pPr>
      <w:spacing w:lineRule="auto" w:line="240" w:before="0" w:after="2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Style26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Style27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Style28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Style29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LibreOffice/6.4.7.2$Linux_X86_64 LibreOffice_project/40$Build-2</Application>
  <Pages>2</Pages>
  <Words>216</Words>
  <Characters>1558</Characters>
  <CharactersWithSpaces>1751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2025-02-18T14:58:36Z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