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«TAXSEE Driver для Harmony OS»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РУКОВОДСТВО ПОЛЬЗОВАТЕЛЯ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  <w:t>Листов 11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cs="Times New Roman" w:ascii="Times New Roman" w:hAnsi="Times New Roman"/>
          <w:sz w:val="32"/>
          <w:szCs w:val="32"/>
        </w:rPr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АННОТАЦИЯ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настоящем руководстве описано назначение и условия применения программы «TAXSEE Driver для Harmony OS», подготовка к работе.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Тип ЭВМ: устройства под управлением операционной системы Harmony OS.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Программа функционирует с помощью подключения к сети Интернет.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Настоящий документ пересматривается на регулярной основе. Содержание документа может быть изменено без предварительного уведомления пользователей с последующим размещением на сайте</w:t>
      </w:r>
      <w:r>
        <w:rPr>
          <w:rFonts w:cs="Times New Roman" w:ascii="Times New Roman" w:hAnsi="Times New Roman"/>
          <w:color w:val="auto"/>
          <w:sz w:val="28"/>
          <w:szCs w:val="28"/>
        </w:rPr>
        <w:t>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Правообладатель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 xml:space="preserve">: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О</w:t>
      </w:r>
      <w:r>
        <w:rPr>
          <w:rFonts w:eastAsia="Calibri" w:cs="Times New Roman" w:ascii="Times New Roman" w:hAnsi="Times New Roman" w:eastAsiaTheme="minorHAnsi"/>
          <w:b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 xml:space="preserve">ОО "МАКСИМ.ПЛАТФОРМА" </w:t>
      </w:r>
      <w:r>
        <w:rPr>
          <w:rFonts w:eastAsia="Calibri" w:cs="Times New Roman" w:ascii="Times New Roman" w:hAnsi="Times New Roman" w:eastAsiaTheme="minorHAnsi"/>
          <w:b w:val="false"/>
          <w:bCs w:val="false"/>
          <w:i w:val="false"/>
          <w:caps w:val="false"/>
          <w:smallCaps w:val="false"/>
          <w:color w:val="auto"/>
          <w:spacing w:val="0"/>
          <w:kern w:val="0"/>
          <w:sz w:val="28"/>
          <w:szCs w:val="28"/>
          <w:lang w:val="ru-RU" w:eastAsia="en-US" w:bidi="ar-SA"/>
        </w:rPr>
        <w:t>(ИНН 4501226750)</w:t>
      </w:r>
      <w:r>
        <w:rPr>
          <w:rFonts w:eastAsia="Calibri" w:cs="Times New Roman" w:ascii="Times New Roman" w:hAnsi="Times New Roman" w:eastAsiaTheme="minorHAnsi"/>
          <w:color w:val="auto"/>
          <w:kern w:val="0"/>
          <w:sz w:val="28"/>
          <w:szCs w:val="28"/>
          <w:lang w:val="ru-RU" w:eastAsia="en-US" w:bidi="ar-SA"/>
        </w:rPr>
        <w:t>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СОДЕРЖАНИЕ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dt>
      <w:sdtPr>
        <w:docPartObj>
          <w:docPartGallery w:val="Table of Contents"/>
          <w:docPartUnique w:val="true"/>
        </w:docPartObj>
        <w:id w:val="1214411194"/>
      </w:sdtPr>
      <w:sdtContent>
        <w:p>
          <w:pPr>
            <w:pStyle w:val="TOCHeading"/>
            <w:spacing w:lineRule="auto" w:line="240" w:before="0" w:after="2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color w:val="auto"/>
              <w:sz w:val="28"/>
              <w:szCs w:val="28"/>
            </w:rPr>
            <w:t xml:space="preserve">Термины и определения </w:t>
            <w:tab/>
            <w:t>4</w:t>
          </w:r>
        </w:p>
        <w:p>
          <w:pPr>
            <w:pStyle w:val="TOCHeading"/>
            <w:numPr>
              <w:ilvl w:val="0"/>
              <w:numId w:val="3"/>
            </w:numPr>
            <w:spacing w:lineRule="auto" w:line="240" w:before="0" w:after="2"/>
            <w:ind w:left="0" w:hanging="0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color w:val="auto"/>
              <w:sz w:val="28"/>
              <w:szCs w:val="28"/>
            </w:rPr>
            <w:t>Введение</w:t>
            <w:tab/>
            <w:t>5</w:t>
          </w:r>
        </w:p>
        <w:p>
          <w:pPr>
            <w:pStyle w:val="TOCHeading"/>
            <w:numPr>
              <w:ilvl w:val="1"/>
              <w:numId w:val="3"/>
            </w:numPr>
            <w:spacing w:lineRule="auto" w:line="240" w:before="0" w:after="2"/>
            <w:ind w:left="0" w:hanging="0"/>
            <w:jc w:val="both"/>
            <w:rPr>
              <w:rFonts w:ascii="Times New Roman" w:hAnsi="Times New Roman" w:cs="Times New Roman"/>
              <w:color w:val="auto"/>
              <w:sz w:val="28"/>
              <w:szCs w:val="28"/>
            </w:rPr>
          </w:pPr>
          <w:r>
            <w:rPr>
              <w:rFonts w:cs="Times New Roman" w:ascii="Times New Roman" w:hAnsi="Times New Roman"/>
              <w:color w:val="auto"/>
              <w:sz w:val="28"/>
              <w:szCs w:val="28"/>
            </w:rPr>
            <w:t>Область применения</w:t>
            <w:tab/>
            <w:t>5</w:t>
          </w:r>
        </w:p>
        <w:p>
          <w:pPr>
            <w:pStyle w:val="ListParagraph"/>
            <w:numPr>
              <w:ilvl w:val="1"/>
              <w:numId w:val="3"/>
            </w:numPr>
            <w:spacing w:lineRule="auto" w:line="240" w:before="0" w:after="2"/>
            <w:ind w:left="0" w:hanging="0"/>
            <w:contextualSpacing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cs="Times New Roman" w:ascii="Times New Roman" w:hAnsi="Times New Roman"/>
              <w:sz w:val="28"/>
              <w:szCs w:val="28"/>
              <w:lang w:eastAsia="ru-RU"/>
            </w:rPr>
            <w:t>Описание возможностей программы</w:t>
          </w:r>
          <w:r>
            <w:rPr>
              <w:rFonts w:cs="Times New Roman" w:ascii="Times New Roman" w:hAnsi="Times New Roman"/>
              <w:sz w:val="28"/>
              <w:szCs w:val="28"/>
            </w:rPr>
            <w:tab/>
            <w:t>5</w:t>
          </w:r>
        </w:p>
        <w:p>
          <w:pPr>
            <w:pStyle w:val="ListParagraph"/>
            <w:numPr>
              <w:ilvl w:val="1"/>
              <w:numId w:val="3"/>
            </w:numPr>
            <w:spacing w:lineRule="auto" w:line="240" w:before="0" w:after="2"/>
            <w:ind w:left="0" w:hanging="0"/>
            <w:contextualSpacing/>
            <w:jc w:val="both"/>
            <w:rPr>
              <w:rFonts w:ascii="Times New Roman" w:hAnsi="Times New Roman" w:cs="Times New Roman"/>
              <w:sz w:val="28"/>
              <w:szCs w:val="28"/>
              <w:lang w:eastAsia="ru-RU"/>
            </w:rPr>
          </w:pPr>
          <w:r>
            <w:rPr>
              <w:rFonts w:cs="Times New Roman" w:ascii="Times New Roman" w:hAnsi="Times New Roman"/>
              <w:sz w:val="28"/>
              <w:szCs w:val="28"/>
              <w:lang w:eastAsia="ru-RU"/>
            </w:rPr>
            <w:t>Необходимый уровень подготовки пользователей</w:t>
          </w:r>
          <w:r>
            <w:rPr>
              <w:rFonts w:cs="Times New Roman" w:ascii="Times New Roman" w:hAnsi="Times New Roman"/>
              <w:sz w:val="28"/>
              <w:szCs w:val="28"/>
            </w:rPr>
            <w:tab/>
            <w:t>5</w:t>
          </w:r>
        </w:p>
        <w:p>
          <w:pPr>
            <w:pStyle w:val="21"/>
            <w:numPr>
              <w:ilvl w:val="0"/>
              <w:numId w:val="3"/>
            </w:numPr>
            <w:spacing w:lineRule="auto" w:line="240" w:before="0" w:after="2"/>
            <w:ind w:left="0" w:hanging="0"/>
            <w:jc w:val="both"/>
            <w:rPr>
              <w:rFonts w:ascii="Times New Roman" w:hAnsi="Times New Roman"/>
              <w:sz w:val="28"/>
              <w:szCs w:val="28"/>
            </w:rPr>
          </w:pPr>
          <w:r>
            <w:rPr>
              <w:rFonts w:ascii="Times New Roman" w:hAnsi="Times New Roman"/>
              <w:sz w:val="28"/>
              <w:szCs w:val="28"/>
            </w:rPr>
            <w:t>Описание основных операций</w:t>
            <w:tab/>
            <w:t>6</w:t>
          </w:r>
        </w:p>
        <w:p>
          <w:pPr>
            <w:pStyle w:val="14"/>
            <w:numPr>
              <w:ilvl w:val="1"/>
              <w:numId w:val="3"/>
            </w:numPr>
            <w:ind w:left="0" w:hanging="0"/>
            <w:jc w:val="both"/>
            <w:rPr/>
          </w:pPr>
          <w:r>
            <w:rPr/>
            <w:t>Выполнение программы</w:t>
            <w:tab/>
            <w:t>6</w:t>
          </w:r>
        </w:p>
        <w:p>
          <w:pPr>
            <w:pStyle w:val="14"/>
            <w:numPr>
              <w:ilvl w:val="1"/>
              <w:numId w:val="3"/>
            </w:numPr>
            <w:ind w:left="0" w:hanging="0"/>
            <w:jc w:val="both"/>
            <w:rPr/>
          </w:pPr>
          <w:r>
            <w:rPr/>
            <w:t>Назначение заказа</w:t>
            <w:tab/>
            <w:t>8</w:t>
          </w:r>
        </w:p>
        <w:p>
          <w:pPr>
            <w:pStyle w:val="14"/>
            <w:numPr>
              <w:ilvl w:val="1"/>
              <w:numId w:val="3"/>
            </w:numPr>
            <w:ind w:left="0" w:hanging="0"/>
            <w:jc w:val="both"/>
            <w:rPr/>
          </w:pPr>
          <w:r>
            <w:rPr/>
            <w:t>Обращение в службу поддержки</w:t>
            <w:tab/>
            <w:t>9</w:t>
          </w:r>
        </w:p>
      </w:sdtContent>
    </w:sdt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ТЕРМИНЫ И ОПРЕДЕЛЕНИЯ</w:t>
      </w:r>
    </w:p>
    <w:p>
      <w:pPr>
        <w:pStyle w:val="Normal"/>
        <w:spacing w:lineRule="auto" w:lin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Фотоконтроль</w:t>
      </w:r>
      <w:r>
        <w:rPr>
          <w:rFonts w:cs="Times New Roman" w:ascii="Times New Roman" w:hAnsi="Times New Roman"/>
          <w:sz w:val="28"/>
          <w:szCs w:val="28"/>
        </w:rPr>
        <w:t xml:space="preserve"> – процедура проверки документов и состояния транспортного средства водителя с помощью фотографий. Фотоконтролем водитель подтверждает данные, которые предоставил на этапе регистрации либо в случае их изменения.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Сервис</w:t>
      </w:r>
      <w:r>
        <w:rPr>
          <w:rFonts w:cs="Times New Roman" w:ascii="Times New Roman" w:hAnsi="Times New Roman"/>
          <w:sz w:val="28"/>
          <w:szCs w:val="28"/>
        </w:rPr>
        <w:t xml:space="preserve"> – служба онлайн-заказа такси, доставки грузов, бытовых услуг, соединяющая исполнителя и заказчика посредством веб-сайта или мобильного приложения.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Зоны</w:t>
      </w:r>
      <w:r>
        <w:rPr>
          <w:rFonts w:cs="Times New Roman" w:ascii="Times New Roman" w:hAnsi="Times New Roman"/>
          <w:sz w:val="28"/>
          <w:szCs w:val="28"/>
        </w:rPr>
        <w:t xml:space="preserve"> – фрагменты местности, включающие в себя несколько частей территории города (районов).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Автоназначение</w:t>
      </w:r>
      <w:r>
        <w:rPr>
          <w:rFonts w:cs="Times New Roman" w:ascii="Times New Roman" w:hAnsi="Times New Roman"/>
          <w:sz w:val="28"/>
          <w:szCs w:val="28"/>
        </w:rPr>
        <w:t xml:space="preserve"> – процесс поиска и распределения заказов между исполнителями. Автоназначение срабатывает при создании или изменении заказа и определяет исполнителя, который лучше всего подходит под требования заказчика. Повторно автоназначение срабатывает, если исполнитель не был найден.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Лицевой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счет</w:t>
      </w:r>
      <w:r>
        <w:rPr>
          <w:rFonts w:cs="Times New Roman" w:ascii="Times New Roman" w:hAnsi="Times New Roman"/>
          <w:sz w:val="28"/>
          <w:szCs w:val="28"/>
        </w:rPr>
        <w:t xml:space="preserve"> – счет исполнителя в системе расчетов компании. На счет исполнителя поступают деньги за выполнение заказов, а также списывается комиссия за выполненные заказы. 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Логин</w:t>
      </w:r>
      <w:r>
        <w:rPr>
          <w:rFonts w:cs="Times New Roman" w:ascii="Times New Roman" w:hAnsi="Times New Roman"/>
          <w:sz w:val="28"/>
          <w:szCs w:val="28"/>
        </w:rPr>
        <w:t xml:space="preserve"> – идентификатор водителя в системе.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Совместные</w:t>
      </w: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b/>
          <w:bCs/>
          <w:sz w:val="28"/>
          <w:szCs w:val="28"/>
        </w:rPr>
        <w:t>поездки</w:t>
      </w:r>
      <w:r>
        <w:rPr>
          <w:rFonts w:cs="Times New Roman" w:ascii="Times New Roman" w:hAnsi="Times New Roman"/>
          <w:sz w:val="28"/>
          <w:szCs w:val="28"/>
        </w:rPr>
        <w:t xml:space="preserve"> – услуга, которая позволяет совершать междугородние и пригородные поездки с попутчиками.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2"/>
        </w:numPr>
        <w:spacing w:lineRule="auto" w:line="240" w:before="0" w:after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ВВЕДЕНИЕ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Область применения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«TAXSEE Driver для Harmony OS» предназначена для автоматизации, изменения и обеспечения доступа к информации, которая содержит сведения о наличии потребности в услугах исполнителей в сфере транспорта и доставки, оказания бытовых и сервисных услуг бизнесу и населению.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Программа обеспечивает актуализацию сведений о зарегистрированных пользователях, обеспечивает возможность взаимодействия с другими пользователями, обеспечивает доступ к технической поддержке.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Описание возможностей программы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позволяет выполнять следующие задачи: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карты с возможностью построения маршрута;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списка заказов с возможностью разделения на категории и зоны;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запроса заказов для выполнения;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сервисных сообщений;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доски объявлений;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общения в общем чате пользователей;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чата по дорожной ситуации;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предложений партнеров для пользователей;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автоназначения заказов;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доступа в личный кабинет пользователя;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редактирования уведомлений о заказах;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пополнения счета;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перевода средств с карты на счет пользователя;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перевода средств между пользователями одного сервиса по логину;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просмотра списка сервисов, подключенных к приложению;</w:t>
      </w:r>
    </w:p>
    <w:p>
      <w:pPr>
        <w:pStyle w:val="ListParagraph"/>
        <w:numPr>
          <w:ilvl w:val="0"/>
          <w:numId w:val="1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функция поддержки пользователей.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Необходимый уровень подготовки пользователей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Требования к специальным навыкам пользователей для работы с программой не предъявляются. </w:t>
      </w:r>
      <w:r>
        <w:rPr>
          <w:rFonts w:ascii="Times New Roman" w:hAnsi="Times New Roman"/>
          <w:sz w:val="28"/>
          <w:szCs w:val="28"/>
        </w:rPr>
        <w:t xml:space="preserve">Пользователям рекомендуется иметь навыки работы с мобильным устройством на базе операционной системы </w:t>
      </w:r>
      <w:r>
        <w:rPr>
          <w:rFonts w:ascii="Times New Roman" w:hAnsi="Times New Roman"/>
          <w:sz w:val="28"/>
          <w:szCs w:val="28"/>
          <w:lang w:val="en-US"/>
        </w:rPr>
        <w:t>Harmony OS</w:t>
      </w:r>
      <w:r>
        <w:rPr>
          <w:rFonts w:ascii="Times New Roman" w:hAnsi="Times New Roman"/>
          <w:sz w:val="28"/>
          <w:szCs w:val="28"/>
        </w:rPr>
        <w:t>.</w:t>
      </w:r>
    </w:p>
    <w:p>
      <w:pPr>
        <w:pStyle w:val="Normal"/>
        <w:spacing w:lineRule="auto" w:line="240" w:before="0" w:after="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0"/>
          <w:numId w:val="2"/>
        </w:numPr>
        <w:spacing w:lineRule="auto" w:line="240" w:before="0" w:after="2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ОПИСАНИЕ ОСНОВНЫХ ОПЕРАЦИЙ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1"/>
          <w:numId w:val="2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Назначение заказа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выбора заказа нужно перейти в раздел «Заказы» и выбрать интересующую категорию или зону. Цифры обозначают количество доступных заказов (рис. 1).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2161540</wp:posOffset>
            </wp:positionH>
            <wp:positionV relativeFrom="paragraph">
              <wp:posOffset>387985</wp:posOffset>
            </wp:positionV>
            <wp:extent cx="2159635" cy="4542790"/>
            <wp:effectExtent l="0" t="0" r="0" b="0"/>
            <wp:wrapTopAndBottom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1 – Категории и зоны заказов в приложении «TAXSEE Driver для Harmony OS»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После выбора категории или зоны нужно открыть заказ для просмотра. На странице заказа отображается информация о сервисе, тарифе заказа, стоимости заказа и маршруте следования. Также отображается дополнительная информация в виде значков и комментарий от заказчика. Исполнитель может запросить заказ, которые ему интересен, для этого нужно нажать кнопку «Запросить» (рис. 2).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5">
            <wp:simplePos x="0" y="0"/>
            <wp:positionH relativeFrom="column">
              <wp:posOffset>2159635</wp:posOffset>
            </wp:positionH>
            <wp:positionV relativeFrom="paragraph">
              <wp:posOffset>635</wp:posOffset>
            </wp:positionV>
            <wp:extent cx="2160270" cy="4543425"/>
            <wp:effectExtent l="0" t="0" r="0" b="0"/>
            <wp:wrapTopAndBottom/>
            <wp:docPr id="2" name="Рисунок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3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2 – Экран заказа в приложении «TAXSEE Driver для Harmony OS»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1"/>
          <w:numId w:val="2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Работа с картой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приложении есть возможность просматривать заказы на карте, просматривать текущее местоположение пользователя. Для перехода нужно нажать на раздел «Карта» (рис. 3).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7">
            <wp:simplePos x="0" y="0"/>
            <wp:positionH relativeFrom="column">
              <wp:posOffset>1840865</wp:posOffset>
            </wp:positionH>
            <wp:positionV relativeFrom="paragraph">
              <wp:posOffset>635</wp:posOffset>
            </wp:positionV>
            <wp:extent cx="2160270" cy="4543425"/>
            <wp:effectExtent l="0" t="0" r="0" b="0"/>
            <wp:wrapTopAndBottom/>
            <wp:docPr id="3" name="Рисунок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7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3 – Просмотр карты в приложении «TAXSEE Driver для Harmony OS»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ListParagraph"/>
        <w:numPr>
          <w:ilvl w:val="1"/>
          <w:numId w:val="2"/>
        </w:numPr>
        <w:spacing w:lineRule="auto" w:line="240" w:before="0" w:after="2"/>
        <w:contextualSpacing/>
        <w:jc w:val="both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Обращение в службу поддержки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Для обращения в службу поддержки необходимо перейти в раздел «Меню», затем в пункт «Поддержка», затем в «Обратная связь» (рис. 4).</w:t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3">
            <wp:simplePos x="0" y="0"/>
            <wp:positionH relativeFrom="column">
              <wp:posOffset>2159635</wp:posOffset>
            </wp:positionH>
            <wp:positionV relativeFrom="paragraph">
              <wp:posOffset>3175</wp:posOffset>
            </wp:positionV>
            <wp:extent cx="2160270" cy="4543425"/>
            <wp:effectExtent l="0" t="0" r="0" b="0"/>
            <wp:wrapTopAndBottom/>
            <wp:docPr id="4" name="Рисунок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4 – Раздел «Обратная связь в приложении «TAXSEE Driver для Harmony OS»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drawing>
          <wp:anchor behindDoc="0" distT="0" distB="0" distL="114300" distR="114300" simplePos="0" locked="0" layoutInCell="1" allowOverlap="1" relativeHeight="4">
            <wp:simplePos x="0" y="0"/>
            <wp:positionH relativeFrom="page">
              <wp:align>center</wp:align>
            </wp:positionH>
            <wp:positionV relativeFrom="paragraph">
              <wp:posOffset>655320</wp:posOffset>
            </wp:positionV>
            <wp:extent cx="2159635" cy="4542790"/>
            <wp:effectExtent l="0" t="0" r="0" b="0"/>
            <wp:wrapTopAndBottom/>
            <wp:docPr id="5" name="Рисунок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635" cy="4542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sz w:val="28"/>
          <w:szCs w:val="28"/>
        </w:rPr>
        <w:t>В</w:t>
      </w:r>
      <w:r>
        <w:rPr>
          <w:rFonts w:cs="Times New Roman" w:ascii="Times New Roman" w:hAnsi="Times New Roman"/>
          <w:sz w:val="28"/>
          <w:szCs w:val="28"/>
        </w:rPr>
        <w:t xml:space="preserve"> приложении доступен раздел «Помощь», в котором содержится справочная информация по категориям (рис. 5).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5 – Раздел «Помощь» в приложении «TAXSEE Driver для Harmony OS»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  <w:r>
        <w:br w:type="page"/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Пользователь может отправить обращение в сервис, с которым он сотрудничает, для этого нужно нажать «Оставить обращение» и выбрать тип обращения» (рис. 6).</w:t>
      </w:r>
    </w:p>
    <w:p>
      <w:pPr>
        <w:pStyle w:val="Normal"/>
        <w:spacing w:lineRule="auto" w:line="240" w:before="0" w:after="2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1929130</wp:posOffset>
            </wp:positionH>
            <wp:positionV relativeFrom="paragraph">
              <wp:posOffset>401955</wp:posOffset>
            </wp:positionV>
            <wp:extent cx="2160270" cy="4543425"/>
            <wp:effectExtent l="0" t="0" r="0" b="0"/>
            <wp:wrapTopAndBottom/>
            <wp:docPr id="6" name="Рисунок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270" cy="454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Рисунок 6 – Отправка обращения в приложении «TAXSEE Driver для Harmony OS»</w:t>
      </w:r>
    </w:p>
    <w:sectPr>
      <w:headerReference w:type="default" r:id="rId8"/>
      <w:footerReference w:type="default" r:id="rId9"/>
      <w:type w:val="nextPage"/>
      <w:pgSz w:w="11906" w:h="16838"/>
      <w:pgMar w:left="851" w:right="851" w:header="708" w:top="1418" w:footer="708" w:bottom="851" w:gutter="0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auto"/>
    <w:pitch w:val="fixed"/>
  </w:font>
  <w:font w:name="Wingdings">
    <w:charset w:val="02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08280061"/>
    </w:sdtPr>
    <w:sdtContent>
      <w:p>
        <w:pPr>
          <w:pStyle w:val="Style28"/>
          <w:jc w:val="center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11</w:t>
        </w:r>
        <w:r>
          <w:rPr/>
          <w:fldChar w:fldCharType="end"/>
        </w:r>
      </w:p>
    </w:sdtContent>
  </w:sdt>
  <w:p>
    <w:pPr>
      <w:pStyle w:val="Style28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7"/>
      <w:rPr/>
    </w:pPr>
    <w:r>
      <w:rPr/>
      <w:t>«TAXSEE Driver для Harmony OS». Руководство пользователя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21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80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60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68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400" w:hanging="2160"/>
      </w:p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f247bb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>
    <w:name w:val="Интернет-ссылка"/>
    <w:basedOn w:val="DefaultParagraphFont"/>
    <w:uiPriority w:val="99"/>
    <w:semiHidden/>
    <w:unhideWhenUsed/>
    <w:rsid w:val="006c5648"/>
    <w:rPr>
      <w:color w:val="0563C1" w:themeColor="hyperlink"/>
      <w:u w:val="single"/>
    </w:rPr>
  </w:style>
  <w:style w:type="character" w:styleId="Style14" w:customStyle="1">
    <w:name w:val="Верхний колонтитул Знак"/>
    <w:basedOn w:val="DefaultParagraphFont"/>
    <w:link w:val="a4"/>
    <w:uiPriority w:val="99"/>
    <w:qFormat/>
    <w:rsid w:val="00f247bb"/>
    <w:rPr/>
  </w:style>
  <w:style w:type="character" w:styleId="Style15" w:customStyle="1">
    <w:name w:val="Нижний колонтитул Знак"/>
    <w:basedOn w:val="DefaultParagraphFont"/>
    <w:link w:val="a6"/>
    <w:uiPriority w:val="99"/>
    <w:qFormat/>
    <w:rsid w:val="00f247bb"/>
    <w:rPr/>
  </w:style>
  <w:style w:type="character" w:styleId="11" w:customStyle="1">
    <w:name w:val="Заголовок 1 Знак"/>
    <w:basedOn w:val="DefaultParagraphFont"/>
    <w:link w:val="10"/>
    <w:uiPriority w:val="9"/>
    <w:qFormat/>
    <w:rsid w:val="00f247bb"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Style16">
    <w:name w:val="Неразрешенное упоминание"/>
    <w:qFormat/>
    <w:rPr>
      <w:color w:val="605E5C"/>
      <w:shd w:fill="E1DFDD" w:val="clear"/>
    </w:rPr>
  </w:style>
  <w:style w:type="character" w:styleId="L">
    <w:name w:val="l"/>
    <w:qFormat/>
    <w:rPr/>
  </w:style>
  <w:style w:type="character" w:styleId="Style17">
    <w:name w:val="Тема примечания Знак"/>
    <w:qFormat/>
    <w:rPr>
      <w:rFonts w:ascii="Arial" w:hAnsi="Arial" w:eastAsia="Arial"/>
      <w:b/>
      <w:bCs/>
      <w:lang w:eastAsia="zh-CN"/>
    </w:rPr>
  </w:style>
  <w:style w:type="character" w:styleId="Style18">
    <w:name w:val="Текст примечания Знак"/>
    <w:qFormat/>
    <w:rPr>
      <w:rFonts w:ascii="Arial" w:hAnsi="Arial" w:eastAsia="Arial"/>
      <w:lang w:eastAsia="zh-CN"/>
    </w:rPr>
  </w:style>
  <w:style w:type="character" w:styleId="12">
    <w:name w:val="Знак примечания1"/>
    <w:qFormat/>
    <w:rPr>
      <w:sz w:val="16"/>
    </w:rPr>
  </w:style>
  <w:style w:type="character" w:styleId="13">
    <w:name w:val="Основной шрифт абзаца1"/>
    <w:qFormat/>
    <w:rPr/>
  </w:style>
  <w:style w:type="character" w:styleId="2">
    <w:name w:val="Основной шрифт абзаца2"/>
    <w:qFormat/>
    <w:rPr/>
  </w:style>
  <w:style w:type="character" w:styleId="Style19">
    <w:name w:val="Основной шрифт абзаца"/>
    <w:qFormat/>
    <w:rPr/>
  </w:style>
  <w:style w:type="character" w:styleId="PlaceholderText">
    <w:name w:val="Placeholder Text"/>
    <w:qFormat/>
    <w:rPr>
      <w:color w:val="808080"/>
    </w:rPr>
  </w:style>
  <w:style w:type="character" w:styleId="Style20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UnresolvedMention">
    <w:name w:val="Unresolved Mention"/>
    <w:qFormat/>
    <w:rPr>
      <w:color w:val="605E5C"/>
      <w:shd w:fill="E1DFDD" w:val="clear"/>
    </w:rPr>
  </w:style>
  <w:style w:type="paragraph" w:styleId="Style21">
    <w:name w:val="Заголовок"/>
    <w:basedOn w:val="Normal"/>
    <w:next w:val="Style22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2">
    <w:name w:val="Body Text"/>
    <w:basedOn w:val="Normal"/>
    <w:pPr>
      <w:spacing w:lineRule="auto" w:line="276" w:before="0" w:after="140"/>
    </w:pPr>
    <w:rPr/>
  </w:style>
  <w:style w:type="paragraph" w:styleId="Style23">
    <w:name w:val="List"/>
    <w:basedOn w:val="Style22"/>
    <w:pPr/>
    <w:rPr>
      <w:rFonts w:cs="Lohit Devanagari"/>
    </w:rPr>
  </w:style>
  <w:style w:type="paragraph" w:styleId="Style24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5">
    <w:name w:val="Указатель"/>
    <w:basedOn w:val="Normal"/>
    <w:qFormat/>
    <w:pPr>
      <w:suppressLineNumbers/>
    </w:pPr>
    <w:rPr>
      <w:rFonts w:cs="Lohit Devanagari"/>
    </w:rPr>
  </w:style>
  <w:style w:type="paragraph" w:styleId="Style26">
    <w:name w:val="Верхний и нижний колонтитулы"/>
    <w:basedOn w:val="Normal"/>
    <w:qFormat/>
    <w:pPr/>
    <w:rPr/>
  </w:style>
  <w:style w:type="paragraph" w:styleId="Style27">
    <w:name w:val="Header"/>
    <w:basedOn w:val="Normal"/>
    <w:link w:val="a5"/>
    <w:uiPriority w:val="99"/>
    <w:unhideWhenUsed/>
    <w:rsid w:val="00f247b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Style28">
    <w:name w:val="Footer"/>
    <w:basedOn w:val="Normal"/>
    <w:link w:val="a7"/>
    <w:uiPriority w:val="99"/>
    <w:unhideWhenUsed/>
    <w:rsid w:val="00f247bb"/>
    <w:pPr>
      <w:tabs>
        <w:tab w:val="clear" w:pos="709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TOCHeading">
    <w:name w:val="TOC Heading"/>
    <w:basedOn w:val="1"/>
    <w:next w:val="Normal"/>
    <w:uiPriority w:val="39"/>
    <w:unhideWhenUsed/>
    <w:qFormat/>
    <w:rsid w:val="00f247bb"/>
    <w:pPr/>
    <w:rPr>
      <w:lang w:eastAsia="ru-RU"/>
    </w:rPr>
  </w:style>
  <w:style w:type="paragraph" w:styleId="21">
    <w:name w:val="TOC 2"/>
    <w:basedOn w:val="Normal"/>
    <w:next w:val="Normal"/>
    <w:autoRedefine/>
    <w:uiPriority w:val="39"/>
    <w:unhideWhenUsed/>
    <w:rsid w:val="00f247bb"/>
    <w:pPr>
      <w:spacing w:before="0" w:after="100"/>
      <w:ind w:left="220" w:hanging="0"/>
    </w:pPr>
    <w:rPr>
      <w:rFonts w:eastAsia="" w:cs="Times New Roman" w:eastAsiaTheme="minorEastAsia"/>
      <w:lang w:eastAsia="ru-RU"/>
    </w:rPr>
  </w:style>
  <w:style w:type="paragraph" w:styleId="14">
    <w:name w:val="TOC 1"/>
    <w:basedOn w:val="Normal"/>
    <w:next w:val="Normal"/>
    <w:autoRedefine/>
    <w:uiPriority w:val="39"/>
    <w:unhideWhenUsed/>
    <w:rsid w:val="00887dae"/>
    <w:pPr>
      <w:spacing w:lineRule="auto" w:line="240" w:before="0" w:after="2"/>
    </w:pPr>
    <w:rPr>
      <w:rFonts w:ascii="Times New Roman" w:hAnsi="Times New Roman" w:eastAsia="" w:cs="Times New Roman" w:eastAsiaTheme="minorEastAsia"/>
      <w:sz w:val="28"/>
      <w:szCs w:val="28"/>
      <w:lang w:eastAsia="ru-RU"/>
    </w:rPr>
  </w:style>
  <w:style w:type="paragraph" w:styleId="3">
    <w:name w:val="TOC 3"/>
    <w:basedOn w:val="Normal"/>
    <w:next w:val="Normal"/>
    <w:autoRedefine/>
    <w:uiPriority w:val="39"/>
    <w:unhideWhenUsed/>
    <w:rsid w:val="00f247bb"/>
    <w:pPr>
      <w:spacing w:before="0" w:after="100"/>
      <w:ind w:left="440" w:hanging="0"/>
    </w:pPr>
    <w:rPr>
      <w:rFonts w:eastAsia="" w:cs="Times New Roman" w:eastAsiaTheme="minorEastAsia"/>
      <w:lang w:eastAsia="ru-RU"/>
    </w:rPr>
  </w:style>
  <w:style w:type="paragraph" w:styleId="ListParagraph">
    <w:name w:val="List Paragraph"/>
    <w:basedOn w:val="Normal"/>
    <w:uiPriority w:val="34"/>
    <w:qFormat/>
    <w:rsid w:val="003346ef"/>
    <w:pPr>
      <w:spacing w:before="0" w:after="160"/>
      <w:ind w:left="720" w:hanging="0"/>
      <w:contextualSpacing/>
    </w:pPr>
    <w:rPr/>
  </w:style>
  <w:style w:type="paragraph" w:styleId="Annotationsubject">
    <w:name w:val="annotation subject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/>
      <w:lang w:eastAsia="ar-SA"/>
    </w:rPr>
  </w:style>
  <w:style w:type="paragraph" w:styleId="Caption">
    <w:name w:val="caption"/>
    <w:basedOn w:val="Normal"/>
    <w:qFormat/>
    <w:pPr>
      <w:spacing w:before="120" w:after="120"/>
    </w:pPr>
    <w:rPr>
      <w:rFonts w:eastAsia="Arial"/>
      <w:i/>
      <w:iCs/>
      <w:lang w:eastAsia="ar-SA"/>
    </w:rPr>
  </w:style>
  <w:style w:type="paragraph" w:styleId="Indexheading">
    <w:name w:val="index heading"/>
    <w:basedOn w:val="Normal"/>
    <w:qFormat/>
    <w:pPr/>
    <w:rPr>
      <w:rFonts w:eastAsia="Arial"/>
      <w:lang w:eastAsia="ar-SA"/>
    </w:rPr>
  </w:style>
  <w:style w:type="paragraph" w:styleId="Style29">
    <w:name w:val="Обычный (веб)"/>
    <w:basedOn w:val="Normal"/>
    <w:qFormat/>
    <w:pPr>
      <w:spacing w:lineRule="exact" w:line="240" w:before="280" w:after="280"/>
    </w:pPr>
    <w:rPr>
      <w:rFonts w:ascii="Times New Roman" w:hAnsi="Times New Roman" w:eastAsia="Times New Roman"/>
      <w:lang w:eastAsia="ar-SA"/>
    </w:rPr>
  </w:style>
  <w:style w:type="paragraph" w:styleId="Style30">
    <w:name w:val="Тема примечания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b/>
      <w:color w:val="auto"/>
      <w:kern w:val="2"/>
      <w:sz w:val="20"/>
      <w:szCs w:val="24"/>
      <w:lang w:val="ru-RU" w:eastAsia="hi-IN" w:bidi="ar-SA"/>
    </w:rPr>
  </w:style>
  <w:style w:type="paragraph" w:styleId="15">
    <w:name w:val="Текст примечания1"/>
    <w:basedOn w:val="Normal"/>
    <w:qFormat/>
    <w:pPr/>
    <w:rPr>
      <w:sz w:val="20"/>
    </w:rPr>
  </w:style>
  <w:style w:type="paragraph" w:styleId="Style31">
    <w:name w:val="Текст выноски"/>
    <w:basedOn w:val="Normal"/>
    <w:qFormat/>
    <w:pPr/>
    <w:rPr>
      <w:rFonts w:ascii="Tahoma" w:hAnsi="Tahoma" w:eastAsia="Tahoma"/>
      <w:sz w:val="16"/>
      <w:szCs w:val="16"/>
      <w:lang w:eastAsia="ar-SA"/>
    </w:rPr>
  </w:style>
  <w:style w:type="paragraph" w:styleId="16">
    <w:name w:val="Указатель1"/>
    <w:basedOn w:val="Normal"/>
    <w:qFormat/>
    <w:pPr/>
    <w:rPr>
      <w:rFonts w:eastAsia="Lohit Hindi"/>
      <w:lang w:eastAsia="ar-SA"/>
    </w:rPr>
  </w:style>
  <w:style w:type="paragraph" w:styleId="17">
    <w:name w:val="Название объекта1"/>
    <w:basedOn w:val="Normal"/>
    <w:qFormat/>
    <w:pPr>
      <w:spacing w:before="120" w:after="120"/>
    </w:pPr>
    <w:rPr>
      <w:rFonts w:eastAsia="Lohit Hindi"/>
      <w:i/>
      <w:iCs/>
      <w:lang w:eastAsia="ar-SA"/>
    </w:rPr>
  </w:style>
  <w:style w:type="paragraph" w:styleId="22">
    <w:name w:val="Указатель2"/>
    <w:basedOn w:val="Normal"/>
    <w:qFormat/>
    <w:pPr/>
    <w:rPr>
      <w:rFonts w:eastAsia="FreeSans"/>
      <w:lang w:eastAsia="ar-SA"/>
    </w:rPr>
  </w:style>
  <w:style w:type="paragraph" w:styleId="Style32">
    <w:name w:val="Название объекта"/>
    <w:basedOn w:val="Normal"/>
    <w:qFormat/>
    <w:pPr>
      <w:spacing w:before="120" w:after="120"/>
    </w:pPr>
    <w:rPr>
      <w:rFonts w:eastAsia="FreeSans"/>
      <w:i/>
      <w:iCs/>
      <w:lang w:eastAsia="ar-SA"/>
    </w:rPr>
  </w:style>
  <w:style w:type="paragraph" w:styleId="18">
    <w:name w:val="Заголовок1"/>
    <w:basedOn w:val="Normal"/>
    <w:qFormat/>
    <w:pPr>
      <w:keepNext w:val="true"/>
      <w:spacing w:before="240" w:after="120"/>
    </w:pPr>
    <w:rPr>
      <w:rFonts w:ascii="Arial" w:hAnsi="Arial" w:eastAsia="Lohit Hindi"/>
      <w:sz w:val="28"/>
      <w:szCs w:val="28"/>
      <w:lang w:eastAsia="ar-SA"/>
    </w:rPr>
  </w:style>
  <w:style w:type="paragraph" w:styleId="BalloonText">
    <w:name w:val="Balloon Text"/>
    <w:basedOn w:val="Normal"/>
    <w:qFormat/>
    <w:pPr>
      <w:spacing w:lineRule="exact" w:line="240" w:before="0" w:after="0"/>
    </w:pPr>
    <w:rPr>
      <w:rFonts w:ascii="Tahoma" w:hAnsi="Tahoma" w:eastAsia="Tahoma"/>
      <w:sz w:val="16"/>
      <w:szCs w:val="16"/>
      <w:lang w:eastAsia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numbering" Target="numbering.xml"/><Relationship Id="rId11" Type="http://schemas.openxmlformats.org/officeDocument/2006/relationships/fontTable" Target="fontTable.xml"/><Relationship Id="rId12" Type="http://schemas.openxmlformats.org/officeDocument/2006/relationships/settings" Target="settings.xml"/><Relationship Id="rId1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1306</TotalTime>
  <Application>LibreOffice/6.4.7.2$Linux_X86_64 LibreOffice_project/40$Build-2</Application>
  <Pages>11</Pages>
  <Words>690</Words>
  <Characters>4610</Characters>
  <CharactersWithSpaces>5216</CharactersWithSpaces>
  <Paragraphs>69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Извекова Дарья Евгеньевна</dc:creator>
  <dc:description/>
  <dc:language>ru-RU</dc:language>
  <cp:lastModifiedBy/>
  <dcterms:modified xsi:type="dcterms:W3CDTF">2025-02-18T14:57:26Z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